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66DC25B0" w:rsidR="00CE689E" w:rsidRPr="006068A2" w:rsidRDefault="00CE689E" w:rsidP="006068A2">
      <w:pPr>
        <w:spacing w:line="360" w:lineRule="auto"/>
        <w:jc w:val="both"/>
        <w:rPr>
          <w:rStyle w:val="Refdenotaalpie"/>
          <w:rFonts w:ascii="Arial" w:hAnsi="Arial" w:cs="Arial"/>
          <w:sz w:val="22"/>
          <w:szCs w:val="22"/>
        </w:rPr>
      </w:pPr>
    </w:p>
    <w:p w14:paraId="381F81E2" w14:textId="0CB1BFCD" w:rsidR="382B01F5" w:rsidRPr="006068A2" w:rsidRDefault="382B01F5" w:rsidP="006068A2">
      <w:pPr>
        <w:spacing w:line="360" w:lineRule="auto"/>
        <w:jc w:val="both"/>
        <w:rPr>
          <w:rStyle w:val="Refdenotaalpie"/>
          <w:rFonts w:ascii="Arial" w:hAnsi="Arial" w:cs="Arial"/>
          <w:sz w:val="22"/>
          <w:szCs w:val="22"/>
        </w:rPr>
      </w:pPr>
    </w:p>
    <w:p w14:paraId="70379CBF" w14:textId="7574CD10" w:rsidR="008F34F3"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SECRETARÍA DISTRITAL DE SALUD</w:t>
      </w:r>
    </w:p>
    <w:p w14:paraId="4B6AD40F" w14:textId="77777777" w:rsidR="00486EC6" w:rsidRPr="006068A2" w:rsidRDefault="00486EC6" w:rsidP="006068A2">
      <w:pPr>
        <w:spacing w:line="360" w:lineRule="auto"/>
        <w:jc w:val="center"/>
        <w:rPr>
          <w:rFonts w:ascii="Arial" w:hAnsi="Arial" w:cs="Arial"/>
          <w:b/>
          <w:bCs/>
          <w:sz w:val="32"/>
          <w:szCs w:val="32"/>
        </w:rPr>
      </w:pPr>
    </w:p>
    <w:p w14:paraId="5D9ECEBF" w14:textId="18334624" w:rsidR="00CE689E" w:rsidRPr="006068A2" w:rsidRDefault="00CE689E" w:rsidP="006068A2">
      <w:pPr>
        <w:spacing w:line="360" w:lineRule="auto"/>
        <w:jc w:val="center"/>
        <w:rPr>
          <w:rFonts w:ascii="Arial" w:hAnsi="Arial" w:cs="Arial"/>
          <w:b/>
          <w:bCs/>
          <w:sz w:val="32"/>
          <w:szCs w:val="32"/>
        </w:rPr>
      </w:pPr>
    </w:p>
    <w:p w14:paraId="5074839F" w14:textId="4E086050" w:rsidR="3920E673" w:rsidRPr="006068A2" w:rsidRDefault="3920E673" w:rsidP="006068A2">
      <w:pPr>
        <w:spacing w:line="360" w:lineRule="auto"/>
        <w:jc w:val="center"/>
        <w:rPr>
          <w:rFonts w:ascii="Arial" w:hAnsi="Arial" w:cs="Arial"/>
          <w:b/>
          <w:bCs/>
          <w:sz w:val="32"/>
          <w:szCs w:val="32"/>
        </w:rPr>
      </w:pPr>
    </w:p>
    <w:p w14:paraId="0A29D637" w14:textId="66B43E5C" w:rsidR="3920E673" w:rsidRPr="006068A2" w:rsidRDefault="3920E673" w:rsidP="006068A2">
      <w:pPr>
        <w:spacing w:line="360" w:lineRule="auto"/>
        <w:jc w:val="center"/>
        <w:rPr>
          <w:rFonts w:ascii="Arial" w:hAnsi="Arial" w:cs="Arial"/>
          <w:b/>
          <w:bCs/>
          <w:sz w:val="32"/>
          <w:szCs w:val="32"/>
        </w:rPr>
      </w:pPr>
    </w:p>
    <w:p w14:paraId="306E6A47" w14:textId="02169AA4" w:rsidR="00CE689E" w:rsidRPr="006068A2" w:rsidRDefault="00CE689E" w:rsidP="006068A2">
      <w:pPr>
        <w:spacing w:line="360" w:lineRule="auto"/>
        <w:jc w:val="center"/>
        <w:rPr>
          <w:rFonts w:ascii="Arial" w:hAnsi="Arial" w:cs="Arial"/>
          <w:b/>
          <w:bCs/>
          <w:sz w:val="32"/>
          <w:szCs w:val="32"/>
        </w:rPr>
      </w:pPr>
      <w:bookmarkStart w:id="0" w:name="_Hlk201318273"/>
      <w:r w:rsidRPr="006068A2">
        <w:rPr>
          <w:rFonts w:ascii="Arial" w:hAnsi="Arial" w:cs="Arial"/>
          <w:b/>
          <w:bCs/>
          <w:sz w:val="32"/>
          <w:szCs w:val="32"/>
        </w:rPr>
        <w:t>DIRECCIÓN DE ASEGURAMIENTO Y GARANTÍA DEL DERECHO A LA SALUD</w:t>
      </w:r>
    </w:p>
    <w:bookmarkEnd w:id="0"/>
    <w:p w14:paraId="1C077C33" w14:textId="77777777" w:rsidR="008F34F3" w:rsidRPr="006068A2" w:rsidRDefault="008F34F3" w:rsidP="006068A2">
      <w:pPr>
        <w:spacing w:line="360" w:lineRule="auto"/>
        <w:jc w:val="center"/>
        <w:rPr>
          <w:rFonts w:ascii="Arial" w:hAnsi="Arial" w:cs="Arial"/>
          <w:b/>
          <w:bCs/>
          <w:sz w:val="32"/>
          <w:szCs w:val="32"/>
        </w:rPr>
      </w:pPr>
    </w:p>
    <w:p w14:paraId="381F299C" w14:textId="77777777" w:rsidR="00486EC6" w:rsidRPr="006068A2" w:rsidRDefault="00486EC6" w:rsidP="006068A2">
      <w:pPr>
        <w:spacing w:line="360" w:lineRule="auto"/>
        <w:jc w:val="center"/>
        <w:rPr>
          <w:rFonts w:ascii="Arial" w:hAnsi="Arial" w:cs="Arial"/>
          <w:b/>
          <w:bCs/>
          <w:sz w:val="32"/>
          <w:szCs w:val="32"/>
        </w:rPr>
      </w:pPr>
    </w:p>
    <w:p w14:paraId="59530741" w14:textId="77777777" w:rsidR="00CE689E" w:rsidRPr="006068A2" w:rsidRDefault="00CE689E" w:rsidP="006068A2">
      <w:pPr>
        <w:spacing w:line="360" w:lineRule="auto"/>
        <w:jc w:val="center"/>
        <w:rPr>
          <w:rFonts w:ascii="Arial" w:hAnsi="Arial" w:cs="Arial"/>
          <w:b/>
          <w:bCs/>
          <w:sz w:val="32"/>
          <w:szCs w:val="32"/>
        </w:rPr>
      </w:pPr>
    </w:p>
    <w:p w14:paraId="785CDCAA" w14:textId="77777777" w:rsidR="00CE689E" w:rsidRDefault="00CE689E" w:rsidP="006068A2">
      <w:pPr>
        <w:spacing w:line="360" w:lineRule="auto"/>
        <w:jc w:val="center"/>
        <w:rPr>
          <w:rFonts w:ascii="Arial" w:hAnsi="Arial" w:cs="Arial"/>
          <w:b/>
          <w:bCs/>
          <w:sz w:val="32"/>
          <w:szCs w:val="32"/>
        </w:rPr>
      </w:pPr>
    </w:p>
    <w:p w14:paraId="4C0A8A5A" w14:textId="77777777" w:rsidR="0003723C" w:rsidRPr="006068A2" w:rsidRDefault="0003723C" w:rsidP="006068A2">
      <w:pPr>
        <w:spacing w:line="360" w:lineRule="auto"/>
        <w:jc w:val="center"/>
        <w:rPr>
          <w:rFonts w:ascii="Arial" w:hAnsi="Arial" w:cs="Arial"/>
          <w:b/>
          <w:bCs/>
          <w:sz w:val="32"/>
          <w:szCs w:val="32"/>
        </w:rPr>
      </w:pPr>
    </w:p>
    <w:p w14:paraId="1D8A6C68" w14:textId="2B72CED9" w:rsidR="00CE689E"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 xml:space="preserve">INFORME EJECUTIVO DE ANÁLISIS A LOS RESULTADOS DE LA GESTIÓN DE </w:t>
      </w:r>
      <w:r w:rsidR="005B00AD" w:rsidRPr="006068A2">
        <w:rPr>
          <w:rFonts w:ascii="Arial" w:hAnsi="Arial" w:cs="Arial"/>
          <w:b/>
          <w:bCs/>
          <w:sz w:val="32"/>
          <w:szCs w:val="32"/>
        </w:rPr>
        <w:t>EPS COOSALUD</w:t>
      </w:r>
      <w:r w:rsidR="00486EC6" w:rsidRPr="006068A2">
        <w:rPr>
          <w:rFonts w:ascii="Arial" w:hAnsi="Arial" w:cs="Arial"/>
          <w:b/>
          <w:bCs/>
          <w:sz w:val="32"/>
          <w:szCs w:val="32"/>
        </w:rPr>
        <w:t>.</w:t>
      </w:r>
    </w:p>
    <w:p w14:paraId="626D94FD" w14:textId="77777777" w:rsidR="00CE689E" w:rsidRPr="006068A2" w:rsidRDefault="00CE689E" w:rsidP="006068A2">
      <w:pPr>
        <w:spacing w:line="360" w:lineRule="auto"/>
        <w:jc w:val="center"/>
        <w:rPr>
          <w:rFonts w:ascii="Arial" w:hAnsi="Arial" w:cs="Arial"/>
          <w:b/>
          <w:bCs/>
          <w:sz w:val="22"/>
          <w:szCs w:val="22"/>
        </w:rPr>
      </w:pPr>
    </w:p>
    <w:p w14:paraId="2B3528AC" w14:textId="77777777" w:rsidR="00486EC6" w:rsidRPr="006068A2" w:rsidRDefault="00486EC6" w:rsidP="006068A2">
      <w:pPr>
        <w:spacing w:line="360" w:lineRule="auto"/>
        <w:jc w:val="center"/>
        <w:rPr>
          <w:rFonts w:ascii="Arial" w:hAnsi="Arial" w:cs="Arial"/>
          <w:b/>
          <w:bCs/>
          <w:sz w:val="22"/>
          <w:szCs w:val="22"/>
        </w:rPr>
      </w:pPr>
    </w:p>
    <w:p w14:paraId="540B3801" w14:textId="77777777" w:rsidR="00486EC6" w:rsidRDefault="00486EC6" w:rsidP="006068A2">
      <w:pPr>
        <w:spacing w:line="360" w:lineRule="auto"/>
        <w:jc w:val="center"/>
        <w:rPr>
          <w:rFonts w:ascii="Arial" w:hAnsi="Arial" w:cs="Arial"/>
          <w:b/>
          <w:bCs/>
          <w:sz w:val="22"/>
          <w:szCs w:val="22"/>
        </w:rPr>
      </w:pPr>
    </w:p>
    <w:p w14:paraId="32016F55" w14:textId="77777777" w:rsidR="0003723C" w:rsidRDefault="0003723C" w:rsidP="006068A2">
      <w:pPr>
        <w:spacing w:line="360" w:lineRule="auto"/>
        <w:jc w:val="center"/>
        <w:rPr>
          <w:rFonts w:ascii="Arial" w:hAnsi="Arial" w:cs="Arial"/>
          <w:b/>
          <w:bCs/>
          <w:sz w:val="22"/>
          <w:szCs w:val="22"/>
        </w:rPr>
      </w:pPr>
    </w:p>
    <w:p w14:paraId="63E1DCF8" w14:textId="77777777" w:rsidR="0003723C" w:rsidRDefault="0003723C" w:rsidP="006068A2">
      <w:pPr>
        <w:spacing w:line="360" w:lineRule="auto"/>
        <w:jc w:val="center"/>
        <w:rPr>
          <w:rFonts w:ascii="Arial" w:hAnsi="Arial" w:cs="Arial"/>
          <w:b/>
          <w:bCs/>
          <w:sz w:val="22"/>
          <w:szCs w:val="22"/>
        </w:rPr>
      </w:pPr>
    </w:p>
    <w:p w14:paraId="3BD6CFBC" w14:textId="77777777" w:rsidR="0003723C" w:rsidRDefault="0003723C" w:rsidP="006068A2">
      <w:pPr>
        <w:spacing w:line="360" w:lineRule="auto"/>
        <w:jc w:val="center"/>
        <w:rPr>
          <w:rFonts w:ascii="Arial" w:hAnsi="Arial" w:cs="Arial"/>
          <w:b/>
          <w:bCs/>
          <w:sz w:val="22"/>
          <w:szCs w:val="22"/>
        </w:rPr>
      </w:pPr>
    </w:p>
    <w:p w14:paraId="713CC11D" w14:textId="77777777" w:rsidR="00AB0635" w:rsidRPr="006068A2" w:rsidRDefault="00AB0635" w:rsidP="006068A2">
      <w:pPr>
        <w:spacing w:line="360" w:lineRule="auto"/>
        <w:jc w:val="center"/>
        <w:rPr>
          <w:rFonts w:ascii="Arial" w:hAnsi="Arial" w:cs="Arial"/>
          <w:b/>
          <w:bCs/>
          <w:sz w:val="22"/>
          <w:szCs w:val="22"/>
        </w:rPr>
      </w:pPr>
    </w:p>
    <w:p w14:paraId="139CEB7C" w14:textId="6DC3307E" w:rsidR="00CE689E" w:rsidRPr="006068A2" w:rsidRDefault="003301AC" w:rsidP="008F7251">
      <w:pPr>
        <w:spacing w:line="360" w:lineRule="auto"/>
        <w:jc w:val="center"/>
        <w:rPr>
          <w:rFonts w:ascii="Arial" w:hAnsi="Arial" w:cs="Arial"/>
          <w:b/>
          <w:bCs/>
          <w:sz w:val="28"/>
          <w:szCs w:val="28"/>
        </w:rPr>
      </w:pPr>
      <w:r w:rsidRPr="006068A2">
        <w:rPr>
          <w:rFonts w:ascii="Arial" w:hAnsi="Arial" w:cs="Arial"/>
          <w:b/>
          <w:bCs/>
          <w:sz w:val="28"/>
          <w:szCs w:val="28"/>
        </w:rPr>
        <w:t>MA</w:t>
      </w:r>
      <w:r w:rsidR="00241C29" w:rsidRPr="006068A2">
        <w:rPr>
          <w:rFonts w:ascii="Arial" w:hAnsi="Arial" w:cs="Arial"/>
          <w:b/>
          <w:bCs/>
          <w:sz w:val="28"/>
          <w:szCs w:val="28"/>
        </w:rPr>
        <w:t>YO</w:t>
      </w:r>
      <w:r w:rsidR="008F7251">
        <w:rPr>
          <w:rFonts w:ascii="Arial" w:hAnsi="Arial" w:cs="Arial"/>
          <w:b/>
          <w:bCs/>
          <w:sz w:val="28"/>
          <w:szCs w:val="28"/>
        </w:rPr>
        <w:t xml:space="preserve"> DE </w:t>
      </w:r>
      <w:r w:rsidR="00CE689E" w:rsidRPr="006068A2">
        <w:rPr>
          <w:rFonts w:ascii="Arial" w:hAnsi="Arial" w:cs="Arial"/>
          <w:b/>
          <w:bCs/>
          <w:sz w:val="28"/>
          <w:szCs w:val="28"/>
        </w:rPr>
        <w:t>202</w:t>
      </w:r>
      <w:r w:rsidR="008F5155" w:rsidRPr="006068A2">
        <w:rPr>
          <w:rFonts w:ascii="Arial" w:hAnsi="Arial" w:cs="Arial"/>
          <w:b/>
          <w:bCs/>
          <w:sz w:val="28"/>
          <w:szCs w:val="28"/>
        </w:rPr>
        <w:t>6</w:t>
      </w:r>
    </w:p>
    <w:p w14:paraId="268C4694" w14:textId="77777777" w:rsidR="00295353" w:rsidRPr="00CB4D7A" w:rsidRDefault="00295353" w:rsidP="00CB4D7A">
      <w:pPr>
        <w:spacing w:line="360" w:lineRule="auto"/>
        <w:jc w:val="both"/>
        <w:rPr>
          <w:rFonts w:ascii="Arial" w:hAnsi="Arial" w:cs="Arial"/>
          <w:sz w:val="22"/>
          <w:szCs w:val="22"/>
        </w:rPr>
      </w:pPr>
    </w:p>
    <w:p w14:paraId="1AC132D1" w14:textId="77777777" w:rsidR="00241C29" w:rsidRPr="00CB4D7A" w:rsidRDefault="00241C29" w:rsidP="00CB4D7A">
      <w:pPr>
        <w:spacing w:line="360" w:lineRule="auto"/>
        <w:jc w:val="both"/>
        <w:rPr>
          <w:rFonts w:ascii="Arial" w:hAnsi="Arial" w:cs="Arial"/>
          <w:sz w:val="22"/>
          <w:szCs w:val="22"/>
        </w:rPr>
      </w:pPr>
    </w:p>
    <w:p w14:paraId="164CAAC1" w14:textId="7A1F8708" w:rsidR="00BC1438" w:rsidRPr="0062747E" w:rsidRDefault="00295353" w:rsidP="0062747E">
      <w:pPr>
        <w:spacing w:line="360" w:lineRule="auto"/>
        <w:jc w:val="center"/>
        <w:rPr>
          <w:rFonts w:ascii="Arial" w:hAnsi="Arial" w:cs="Arial"/>
          <w:b/>
          <w:bCs/>
          <w:sz w:val="22"/>
          <w:szCs w:val="22"/>
        </w:rPr>
      </w:pPr>
      <w:r w:rsidRPr="0062747E">
        <w:rPr>
          <w:rFonts w:ascii="Arial" w:hAnsi="Arial" w:cs="Arial"/>
          <w:b/>
          <w:bCs/>
          <w:sz w:val="22"/>
          <w:szCs w:val="22"/>
        </w:rPr>
        <w:lastRenderedPageBreak/>
        <w:t>CONTENIDO</w:t>
      </w:r>
    </w:p>
    <w:sdt>
      <w:sdtPr>
        <w:rPr>
          <w:rFonts w:eastAsiaTheme="minorEastAsia"/>
          <w:lang w:val="es-ES"/>
        </w:rPr>
        <w:id w:val="-319047832"/>
        <w:docPartObj>
          <w:docPartGallery w:val="Table of Contents"/>
          <w:docPartUnique/>
        </w:docPartObj>
      </w:sdtPr>
      <w:sdtEndPr>
        <w:rPr>
          <w:rFonts w:ascii="Arial" w:hAnsi="Arial" w:cs="Arial"/>
          <w:sz w:val="22"/>
          <w:szCs w:val="22"/>
        </w:rPr>
      </w:sdtEndPr>
      <w:sdtContent>
        <w:p w14:paraId="67D9F9AA" w14:textId="0B305ADB" w:rsidR="00ED7184" w:rsidRPr="00ED7184" w:rsidRDefault="00C30FD4" w:rsidP="00ED7184">
          <w:pPr>
            <w:pStyle w:val="TDC1"/>
            <w:rPr>
              <w:rFonts w:ascii="Arial" w:eastAsiaTheme="minorEastAsia" w:hAnsi="Arial" w:cs="Arial"/>
              <w:noProof/>
              <w:kern w:val="2"/>
              <w:sz w:val="22"/>
              <w:szCs w:val="22"/>
              <w:lang w:eastAsia="es-CO"/>
              <w14:ligatures w14:val="standardContextual"/>
            </w:rPr>
          </w:pPr>
          <w:r w:rsidRPr="00ED7184">
            <w:rPr>
              <w:rFonts w:ascii="Arial" w:hAnsi="Arial" w:cs="Arial"/>
              <w:sz w:val="22"/>
              <w:szCs w:val="22"/>
              <w:lang w:val="es-ES"/>
            </w:rPr>
            <w:fldChar w:fldCharType="begin"/>
          </w:r>
          <w:r w:rsidRPr="00ED7184">
            <w:rPr>
              <w:rFonts w:ascii="Arial" w:hAnsi="Arial" w:cs="Arial"/>
              <w:sz w:val="22"/>
              <w:szCs w:val="22"/>
            </w:rPr>
            <w:instrText xml:space="preserve"> TOC \o "1-3" \h \z \u </w:instrText>
          </w:r>
          <w:r w:rsidRPr="00ED7184">
            <w:rPr>
              <w:rFonts w:ascii="Arial" w:hAnsi="Arial" w:cs="Arial"/>
              <w:sz w:val="22"/>
              <w:szCs w:val="22"/>
              <w:lang w:val="es-ES"/>
            </w:rPr>
            <w:fldChar w:fldCharType="separate"/>
          </w:r>
          <w:hyperlink w:anchor="_Toc229397826" w:history="1">
            <w:r w:rsidR="00936ADE">
              <w:rPr>
                <w:rStyle w:val="Hipervnculo"/>
                <w:rFonts w:ascii="Arial" w:eastAsia="Arial" w:hAnsi="Arial" w:cs="Arial"/>
                <w:noProof/>
                <w:sz w:val="22"/>
                <w:szCs w:val="22"/>
              </w:rPr>
              <w:t>Í</w:t>
            </w:r>
            <w:r w:rsidR="00936ADE" w:rsidRPr="00ED7184">
              <w:rPr>
                <w:rStyle w:val="Hipervnculo"/>
                <w:rFonts w:ascii="Arial" w:eastAsia="Arial" w:hAnsi="Arial" w:cs="Arial"/>
                <w:noProof/>
                <w:sz w:val="22"/>
                <w:szCs w:val="22"/>
              </w:rPr>
              <w:t>NDICE DE TABLAS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w:t>
            </w:r>
            <w:r w:rsidR="00ED7184" w:rsidRPr="00ED7184">
              <w:rPr>
                <w:rFonts w:ascii="Arial" w:hAnsi="Arial" w:cs="Arial"/>
                <w:noProof/>
                <w:webHidden/>
                <w:sz w:val="22"/>
                <w:szCs w:val="22"/>
              </w:rPr>
              <w:fldChar w:fldCharType="end"/>
            </w:r>
          </w:hyperlink>
        </w:p>
        <w:p w14:paraId="304BCB98" w14:textId="4F17F915"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7" w:history="1">
            <w:r w:rsidR="00936ADE" w:rsidRPr="00ED7184">
              <w:rPr>
                <w:rStyle w:val="Hipervnculo"/>
                <w:rFonts w:ascii="Arial" w:eastAsia="Arial" w:hAnsi="Arial" w:cs="Arial"/>
                <w:noProof/>
                <w:sz w:val="22"/>
                <w:szCs w:val="22"/>
              </w:rPr>
              <w:t>ÍNDICE DE GRÁFICAS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w:t>
            </w:r>
            <w:r w:rsidR="00ED7184" w:rsidRPr="00ED7184">
              <w:rPr>
                <w:rFonts w:ascii="Arial" w:hAnsi="Arial" w:cs="Arial"/>
                <w:noProof/>
                <w:webHidden/>
                <w:sz w:val="22"/>
                <w:szCs w:val="22"/>
              </w:rPr>
              <w:fldChar w:fldCharType="end"/>
            </w:r>
          </w:hyperlink>
        </w:p>
        <w:p w14:paraId="66CE6214" w14:textId="443B6F6A"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8" w:history="1">
            <w:r w:rsidR="00936ADE" w:rsidRPr="00ED7184">
              <w:rPr>
                <w:rStyle w:val="Hipervnculo"/>
                <w:rFonts w:ascii="Arial" w:eastAsia="Arial" w:hAnsi="Arial" w:cs="Arial"/>
                <w:noProof/>
                <w:sz w:val="22"/>
                <w:szCs w:val="22"/>
              </w:rPr>
              <w:t>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INTRODUCCIÓN</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w:t>
            </w:r>
            <w:r w:rsidR="00ED7184" w:rsidRPr="00ED7184">
              <w:rPr>
                <w:rFonts w:ascii="Arial" w:hAnsi="Arial" w:cs="Arial"/>
                <w:noProof/>
                <w:webHidden/>
                <w:sz w:val="22"/>
                <w:szCs w:val="22"/>
              </w:rPr>
              <w:fldChar w:fldCharType="end"/>
            </w:r>
          </w:hyperlink>
        </w:p>
        <w:p w14:paraId="16958DA2" w14:textId="0504B7EF"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29" w:history="1">
            <w:r w:rsidR="00936ADE" w:rsidRPr="00ED7184">
              <w:rPr>
                <w:rStyle w:val="Hipervnculo"/>
                <w:rFonts w:ascii="Arial" w:eastAsia="Arial" w:hAnsi="Arial" w:cs="Arial"/>
                <w:noProof/>
                <w:sz w:val="22"/>
                <w:szCs w:val="22"/>
              </w:rPr>
              <w:t>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ANTECEDENTES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w:t>
            </w:r>
            <w:r w:rsidR="00ED7184" w:rsidRPr="00ED7184">
              <w:rPr>
                <w:rFonts w:ascii="Arial" w:hAnsi="Arial" w:cs="Arial"/>
                <w:noProof/>
                <w:webHidden/>
                <w:sz w:val="22"/>
                <w:szCs w:val="22"/>
              </w:rPr>
              <w:fldChar w:fldCharType="end"/>
            </w:r>
          </w:hyperlink>
        </w:p>
        <w:p w14:paraId="026736B4" w14:textId="1860A29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0" w:history="1">
            <w:r w:rsidR="00936ADE" w:rsidRPr="00ED7184">
              <w:rPr>
                <w:rStyle w:val="Hipervnculo"/>
                <w:rFonts w:ascii="Arial" w:eastAsia="Arial" w:hAnsi="Arial" w:cs="Arial"/>
                <w:noProof/>
                <w:sz w:val="22"/>
                <w:szCs w:val="22"/>
              </w:rPr>
              <w:t>2.1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CONTEXTO DEL ASEGURAMIENTO EN BOGOTÁ</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8</w:t>
            </w:r>
            <w:r w:rsidR="00ED7184" w:rsidRPr="00ED7184">
              <w:rPr>
                <w:rFonts w:ascii="Arial" w:hAnsi="Arial" w:cs="Arial"/>
                <w:noProof/>
                <w:webHidden/>
                <w:sz w:val="22"/>
                <w:szCs w:val="22"/>
              </w:rPr>
              <w:fldChar w:fldCharType="end"/>
            </w:r>
          </w:hyperlink>
        </w:p>
        <w:p w14:paraId="4CAA495E" w14:textId="1E13F12F"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1" w:history="1">
            <w:r w:rsidR="00936ADE" w:rsidRPr="00ED7184">
              <w:rPr>
                <w:rStyle w:val="Hipervnculo"/>
                <w:rFonts w:ascii="Arial" w:hAnsi="Arial" w:cs="Arial"/>
                <w:noProof/>
                <w:sz w:val="22"/>
                <w:szCs w:val="22"/>
              </w:rPr>
              <w:t>2.2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RELACIÓN EPS – CIUDAD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15</w:t>
            </w:r>
            <w:r w:rsidR="00ED7184" w:rsidRPr="00ED7184">
              <w:rPr>
                <w:rFonts w:ascii="Arial" w:hAnsi="Arial" w:cs="Arial"/>
                <w:noProof/>
                <w:webHidden/>
                <w:sz w:val="22"/>
                <w:szCs w:val="22"/>
              </w:rPr>
              <w:fldChar w:fldCharType="end"/>
            </w:r>
          </w:hyperlink>
        </w:p>
        <w:p w14:paraId="3BCD7AE9" w14:textId="119BED5E"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32" w:history="1">
            <w:r w:rsidR="00936ADE" w:rsidRPr="00ED7184">
              <w:rPr>
                <w:rStyle w:val="Hipervnculo"/>
                <w:rFonts w:ascii="Arial" w:eastAsia="Arial" w:hAnsi="Arial" w:cs="Arial"/>
                <w:noProof/>
                <w:sz w:val="22"/>
                <w:szCs w:val="22"/>
              </w:rPr>
              <w:t>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54F10C5E" w14:textId="63D6BF2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3" w:history="1">
            <w:r w:rsidR="00936ADE" w:rsidRPr="00ED7184">
              <w:rPr>
                <w:rStyle w:val="Hipervnculo"/>
                <w:rFonts w:ascii="Arial" w:eastAsia="Arial" w:hAnsi="Arial" w:cs="Arial"/>
                <w:noProof/>
                <w:sz w:val="22"/>
                <w:szCs w:val="22"/>
              </w:rPr>
              <w:t>3.1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 GENERAL</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3E74562E" w14:textId="40954A96"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4" w:history="1">
            <w:r w:rsidR="00936ADE" w:rsidRPr="00ED7184">
              <w:rPr>
                <w:rStyle w:val="Hipervnculo"/>
                <w:rFonts w:ascii="Arial" w:eastAsia="Arial" w:hAnsi="Arial" w:cs="Arial"/>
                <w:noProof/>
                <w:sz w:val="22"/>
                <w:szCs w:val="22"/>
              </w:rPr>
              <w:t>3.2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OBJETIVOS ESPECÍFICOS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18</w:t>
            </w:r>
            <w:r w:rsidR="00ED7184" w:rsidRPr="00ED7184">
              <w:rPr>
                <w:rFonts w:ascii="Arial" w:hAnsi="Arial" w:cs="Arial"/>
                <w:noProof/>
                <w:webHidden/>
                <w:sz w:val="22"/>
                <w:szCs w:val="22"/>
              </w:rPr>
              <w:fldChar w:fldCharType="end"/>
            </w:r>
          </w:hyperlink>
        </w:p>
        <w:p w14:paraId="101AE8FF" w14:textId="7365E8BE"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35" w:history="1">
            <w:r w:rsidR="00936ADE" w:rsidRPr="00ED7184">
              <w:rPr>
                <w:rStyle w:val="Hipervnculo"/>
                <w:rFonts w:ascii="Arial" w:eastAsia="Arial" w:hAnsi="Arial" w:cs="Arial"/>
                <w:noProof/>
                <w:sz w:val="22"/>
                <w:szCs w:val="22"/>
              </w:rPr>
              <w:t>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RECLAMACIONES EN 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19</w:t>
            </w:r>
            <w:r w:rsidR="00ED7184" w:rsidRPr="00ED7184">
              <w:rPr>
                <w:rFonts w:ascii="Arial" w:hAnsi="Arial" w:cs="Arial"/>
                <w:noProof/>
                <w:webHidden/>
                <w:sz w:val="22"/>
                <w:szCs w:val="22"/>
              </w:rPr>
              <w:fldChar w:fldCharType="end"/>
            </w:r>
          </w:hyperlink>
        </w:p>
        <w:p w14:paraId="736940A5" w14:textId="0BB08813"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6" w:history="1">
            <w:r w:rsidR="00936ADE" w:rsidRPr="00ED7184">
              <w:rPr>
                <w:rStyle w:val="Hipervnculo"/>
                <w:rFonts w:ascii="Arial" w:eastAsia="Arial" w:hAnsi="Arial" w:cs="Arial"/>
                <w:noProof/>
                <w:sz w:val="22"/>
                <w:szCs w:val="22"/>
              </w:rPr>
              <w:t>4.1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COMPORTAMIENTO DE LAS RECLAMACIONES – COOSALUD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21</w:t>
            </w:r>
            <w:r w:rsidR="00ED7184" w:rsidRPr="00ED7184">
              <w:rPr>
                <w:rFonts w:ascii="Arial" w:hAnsi="Arial" w:cs="Arial"/>
                <w:noProof/>
                <w:webHidden/>
                <w:sz w:val="22"/>
                <w:szCs w:val="22"/>
              </w:rPr>
              <w:fldChar w:fldCharType="end"/>
            </w:r>
          </w:hyperlink>
        </w:p>
        <w:p w14:paraId="27E1FB1F" w14:textId="27DF27B2"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7" w:history="1">
            <w:r w:rsidR="00936ADE" w:rsidRPr="00ED7184">
              <w:rPr>
                <w:rStyle w:val="Hipervnculo"/>
                <w:rFonts w:ascii="Arial" w:eastAsia="Arial" w:hAnsi="Arial" w:cs="Arial"/>
                <w:noProof/>
                <w:sz w:val="22"/>
                <w:szCs w:val="22"/>
              </w:rPr>
              <w:t>4.2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OPORTUNIDAD EN LA RESPUESTA A LAS PQRSD (INDICADORES)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22</w:t>
            </w:r>
            <w:r w:rsidR="00ED7184" w:rsidRPr="00ED7184">
              <w:rPr>
                <w:rFonts w:ascii="Arial" w:hAnsi="Arial" w:cs="Arial"/>
                <w:noProof/>
                <w:webHidden/>
                <w:sz w:val="22"/>
                <w:szCs w:val="22"/>
              </w:rPr>
              <w:fldChar w:fldCharType="end"/>
            </w:r>
          </w:hyperlink>
        </w:p>
        <w:p w14:paraId="236B8D6F" w14:textId="509FF8E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8" w:history="1">
            <w:r w:rsidR="00936ADE" w:rsidRPr="00ED7184">
              <w:rPr>
                <w:rStyle w:val="Hipervnculo"/>
                <w:rFonts w:ascii="Arial" w:eastAsia="Arial" w:hAnsi="Arial" w:cs="Arial"/>
                <w:noProof/>
                <w:sz w:val="22"/>
                <w:szCs w:val="22"/>
              </w:rPr>
              <w:t>4.3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PRINCIPALES BARRERAS DE ACCESO IDENTIFICADAS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25</w:t>
            </w:r>
            <w:r w:rsidR="00ED7184" w:rsidRPr="00ED7184">
              <w:rPr>
                <w:rFonts w:ascii="Arial" w:hAnsi="Arial" w:cs="Arial"/>
                <w:noProof/>
                <w:webHidden/>
                <w:sz w:val="22"/>
                <w:szCs w:val="22"/>
              </w:rPr>
              <w:fldChar w:fldCharType="end"/>
            </w:r>
          </w:hyperlink>
        </w:p>
        <w:p w14:paraId="701DA580" w14:textId="6D0859D4"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9" w:history="1">
            <w:r w:rsidR="00936ADE" w:rsidRPr="00ED7184">
              <w:rPr>
                <w:rStyle w:val="Hipervnculo"/>
                <w:rFonts w:ascii="Arial" w:eastAsia="Arial" w:hAnsi="Arial" w:cs="Arial"/>
                <w:noProof/>
                <w:sz w:val="22"/>
                <w:szCs w:val="22"/>
              </w:rPr>
              <w:t>4.4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SECRETARÍA DISTRITAL - GESTIÓN DE PQRS DE SALUD 2025 EN COOSALUD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_Toc229397839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28</w:t>
            </w:r>
            <w:r w:rsidR="00ED7184" w:rsidRPr="00ED7184">
              <w:rPr>
                <w:rFonts w:ascii="Arial" w:hAnsi="Arial" w:cs="Arial"/>
                <w:noProof/>
                <w:webHidden/>
                <w:sz w:val="22"/>
                <w:szCs w:val="22"/>
              </w:rPr>
              <w:fldChar w:fldCharType="end"/>
            </w:r>
          </w:hyperlink>
        </w:p>
        <w:p w14:paraId="3C6318F6" w14:textId="676D558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0" w:history="1">
            <w:r w:rsidR="00936ADE" w:rsidRPr="00ED7184">
              <w:rPr>
                <w:rStyle w:val="Hipervnculo"/>
                <w:rFonts w:ascii="Arial" w:eastAsia="Arial" w:hAnsi="Arial" w:cs="Arial"/>
                <w:noProof/>
                <w:sz w:val="22"/>
                <w:szCs w:val="22"/>
              </w:rPr>
              <w:t>4.5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OPORTUNIDAD DE RESPUESTA EPS COOSALUD AÑO 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29</w:t>
            </w:r>
            <w:r w:rsidR="00ED7184" w:rsidRPr="00ED7184">
              <w:rPr>
                <w:rFonts w:ascii="Arial" w:hAnsi="Arial" w:cs="Arial"/>
                <w:noProof/>
                <w:webHidden/>
                <w:sz w:val="22"/>
                <w:szCs w:val="22"/>
              </w:rPr>
              <w:fldChar w:fldCharType="end"/>
            </w:r>
          </w:hyperlink>
        </w:p>
        <w:p w14:paraId="40C159C7" w14:textId="403C05F7"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1" w:history="1">
            <w:r w:rsidR="00936ADE" w:rsidRPr="00ED7184">
              <w:rPr>
                <w:rStyle w:val="Hipervnculo"/>
                <w:rFonts w:ascii="Arial" w:eastAsia="Arial" w:hAnsi="Arial" w:cs="Arial"/>
                <w:noProof/>
                <w:sz w:val="22"/>
                <w:szCs w:val="22"/>
              </w:rPr>
              <w:t>4.6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BARRERAS DE ACCESO AÑO 2025 EPS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31</w:t>
            </w:r>
            <w:r w:rsidR="00ED7184" w:rsidRPr="00ED7184">
              <w:rPr>
                <w:rFonts w:ascii="Arial" w:hAnsi="Arial" w:cs="Arial"/>
                <w:noProof/>
                <w:webHidden/>
                <w:sz w:val="22"/>
                <w:szCs w:val="22"/>
              </w:rPr>
              <w:fldChar w:fldCharType="end"/>
            </w:r>
          </w:hyperlink>
        </w:p>
        <w:p w14:paraId="549DFAE9" w14:textId="3774B461"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2" w:history="1">
            <w:r w:rsidR="00936ADE" w:rsidRPr="00ED7184">
              <w:rPr>
                <w:rStyle w:val="Hipervnculo"/>
                <w:rFonts w:ascii="Arial" w:eastAsia="Arial" w:hAnsi="Arial" w:cs="Arial"/>
                <w:noProof/>
                <w:sz w:val="22"/>
                <w:szCs w:val="22"/>
              </w:rPr>
              <w:t>4.7</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rPr>
              <w:t>PENDIENTES DE RESPUESTA 2025 EPS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33</w:t>
            </w:r>
            <w:r w:rsidR="00ED7184" w:rsidRPr="00ED7184">
              <w:rPr>
                <w:rFonts w:ascii="Arial" w:hAnsi="Arial" w:cs="Arial"/>
                <w:noProof/>
                <w:webHidden/>
                <w:sz w:val="22"/>
                <w:szCs w:val="22"/>
              </w:rPr>
              <w:fldChar w:fldCharType="end"/>
            </w:r>
          </w:hyperlink>
        </w:p>
        <w:p w14:paraId="4BAFB1C2" w14:textId="2CF0502A"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43" w:history="1">
            <w:r w:rsidR="00936ADE" w:rsidRPr="00ED7184">
              <w:rPr>
                <w:rStyle w:val="Hipervnculo"/>
                <w:rFonts w:ascii="Arial" w:hAnsi="Arial" w:cs="Arial"/>
                <w:noProof/>
                <w:sz w:val="22"/>
                <w:szCs w:val="22"/>
                <w:lang w:val="es-ES"/>
              </w:rPr>
              <w:t>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RESULTADOS EN SALUD Y GESTIÓN DEL RIESGO</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34</w:t>
            </w:r>
            <w:r w:rsidR="00ED7184" w:rsidRPr="00ED7184">
              <w:rPr>
                <w:rFonts w:ascii="Arial" w:hAnsi="Arial" w:cs="Arial"/>
                <w:noProof/>
                <w:webHidden/>
                <w:sz w:val="22"/>
                <w:szCs w:val="22"/>
              </w:rPr>
              <w:fldChar w:fldCharType="end"/>
            </w:r>
          </w:hyperlink>
        </w:p>
        <w:p w14:paraId="2E4335A5" w14:textId="487F427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4" w:history="1">
            <w:r w:rsidR="00936ADE" w:rsidRPr="00ED7184">
              <w:rPr>
                <w:rStyle w:val="Hipervnculo"/>
                <w:rFonts w:ascii="Arial" w:hAnsi="Arial" w:cs="Arial"/>
                <w:noProof/>
                <w:sz w:val="22"/>
                <w:szCs w:val="22"/>
              </w:rPr>
              <w:t>5.1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MORTALIDAD MATERNA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34</w:t>
            </w:r>
            <w:r w:rsidR="00ED7184" w:rsidRPr="00ED7184">
              <w:rPr>
                <w:rFonts w:ascii="Arial" w:hAnsi="Arial" w:cs="Arial"/>
                <w:noProof/>
                <w:webHidden/>
                <w:sz w:val="22"/>
                <w:szCs w:val="22"/>
              </w:rPr>
              <w:fldChar w:fldCharType="end"/>
            </w:r>
          </w:hyperlink>
        </w:p>
        <w:p w14:paraId="636DD06F" w14:textId="5F7227C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5" w:history="1">
            <w:r w:rsidR="00936ADE" w:rsidRPr="00ED7184">
              <w:rPr>
                <w:rStyle w:val="Hipervnculo"/>
                <w:rFonts w:ascii="Arial" w:hAnsi="Arial" w:cs="Arial"/>
                <w:noProof/>
                <w:sz w:val="22"/>
                <w:szCs w:val="22"/>
                <w:lang w:val="es-ES_tradnl" w:eastAsia="en-US"/>
              </w:rPr>
              <w:t>5.2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MORTALIDAD INFANTIL</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36</w:t>
            </w:r>
            <w:r w:rsidR="00ED7184" w:rsidRPr="00ED7184">
              <w:rPr>
                <w:rFonts w:ascii="Arial" w:hAnsi="Arial" w:cs="Arial"/>
                <w:noProof/>
                <w:webHidden/>
                <w:sz w:val="22"/>
                <w:szCs w:val="22"/>
              </w:rPr>
              <w:fldChar w:fldCharType="end"/>
            </w:r>
          </w:hyperlink>
        </w:p>
        <w:p w14:paraId="06E215D5" w14:textId="49F9B831"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6" w:history="1">
            <w:r w:rsidR="00936ADE" w:rsidRPr="00ED7184">
              <w:rPr>
                <w:rStyle w:val="Hipervnculo"/>
                <w:rFonts w:ascii="Arial" w:hAnsi="Arial" w:cs="Arial"/>
                <w:noProof/>
                <w:sz w:val="22"/>
                <w:szCs w:val="22"/>
              </w:rPr>
              <w:t>5.3. COBERTURAS DE VACUNACIÓN.</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39</w:t>
            </w:r>
            <w:r w:rsidR="00ED7184" w:rsidRPr="00ED7184">
              <w:rPr>
                <w:rFonts w:ascii="Arial" w:hAnsi="Arial" w:cs="Arial"/>
                <w:noProof/>
                <w:webHidden/>
                <w:sz w:val="22"/>
                <w:szCs w:val="22"/>
              </w:rPr>
              <w:fldChar w:fldCharType="end"/>
            </w:r>
          </w:hyperlink>
        </w:p>
        <w:p w14:paraId="2A6C4840" w14:textId="26A408C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7" w:history="1">
            <w:r w:rsidR="00936ADE" w:rsidRPr="00ED7184">
              <w:rPr>
                <w:rStyle w:val="Hipervnculo"/>
                <w:rFonts w:ascii="Arial" w:hAnsi="Arial" w:cs="Arial"/>
                <w:noProof/>
                <w:sz w:val="22"/>
                <w:szCs w:val="22"/>
              </w:rPr>
              <w:t>5.3.1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TRIPLE VIRAL DE 1 AÑO</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40</w:t>
            </w:r>
            <w:r w:rsidR="00ED7184" w:rsidRPr="00ED7184">
              <w:rPr>
                <w:rFonts w:ascii="Arial" w:hAnsi="Arial" w:cs="Arial"/>
                <w:noProof/>
                <w:webHidden/>
                <w:sz w:val="22"/>
                <w:szCs w:val="22"/>
              </w:rPr>
              <w:fldChar w:fldCharType="end"/>
            </w:r>
          </w:hyperlink>
        </w:p>
        <w:p w14:paraId="171C77C0" w14:textId="0470C7A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8" w:history="1">
            <w:r w:rsidR="00936ADE" w:rsidRPr="00ED7184">
              <w:rPr>
                <w:rStyle w:val="Hipervnculo"/>
                <w:rFonts w:ascii="Arial" w:hAnsi="Arial" w:cs="Arial"/>
                <w:noProof/>
                <w:sz w:val="22"/>
                <w:szCs w:val="22"/>
              </w:rPr>
              <w:t>5.3.2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TRIPLE VIRAL DE 18–23 MESES: TRAZADOR FUNCIONAL DEL CIERRE DE ESQUEMA PARA SARAMPIÓN-RUBÉOLA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41</w:t>
            </w:r>
            <w:r w:rsidR="00ED7184" w:rsidRPr="00ED7184">
              <w:rPr>
                <w:rFonts w:ascii="Arial" w:hAnsi="Arial" w:cs="Arial"/>
                <w:noProof/>
                <w:webHidden/>
                <w:sz w:val="22"/>
                <w:szCs w:val="22"/>
              </w:rPr>
              <w:fldChar w:fldCharType="end"/>
            </w:r>
          </w:hyperlink>
        </w:p>
        <w:p w14:paraId="3A2AB294" w14:textId="40477036"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9" w:history="1">
            <w:r w:rsidR="00936ADE" w:rsidRPr="00ED7184">
              <w:rPr>
                <w:rStyle w:val="Hipervnculo"/>
                <w:rFonts w:ascii="Arial" w:hAnsi="Arial" w:cs="Arial"/>
                <w:noProof/>
                <w:sz w:val="22"/>
                <w:szCs w:val="22"/>
              </w:rPr>
              <w:t>5.3.3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DPT SEGUNDO REFUERZO A LOS 5 AÑOS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_Toc229397849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42</w:t>
            </w:r>
            <w:r w:rsidR="00ED7184" w:rsidRPr="00ED7184">
              <w:rPr>
                <w:rFonts w:ascii="Arial" w:hAnsi="Arial" w:cs="Arial"/>
                <w:noProof/>
                <w:webHidden/>
                <w:sz w:val="22"/>
                <w:szCs w:val="22"/>
              </w:rPr>
              <w:fldChar w:fldCharType="end"/>
            </w:r>
          </w:hyperlink>
        </w:p>
        <w:p w14:paraId="1311A997" w14:textId="74628728"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0" w:history="1">
            <w:r w:rsidR="00936ADE" w:rsidRPr="00ED7184">
              <w:rPr>
                <w:rStyle w:val="Hipervnculo"/>
                <w:rFonts w:ascii="Arial" w:hAnsi="Arial" w:cs="Arial"/>
                <w:noProof/>
                <w:sz w:val="22"/>
                <w:szCs w:val="22"/>
              </w:rPr>
              <w:t>5.3.4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VPH EN NIÑOS Y NIÑAS DE 9 AÑOS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42</w:t>
            </w:r>
            <w:r w:rsidR="00ED7184" w:rsidRPr="00ED7184">
              <w:rPr>
                <w:rFonts w:ascii="Arial" w:hAnsi="Arial" w:cs="Arial"/>
                <w:noProof/>
                <w:webHidden/>
                <w:sz w:val="22"/>
                <w:szCs w:val="22"/>
              </w:rPr>
              <w:fldChar w:fldCharType="end"/>
            </w:r>
          </w:hyperlink>
        </w:p>
        <w:p w14:paraId="27A3C6D2" w14:textId="5D793B2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1" w:history="1">
            <w:r w:rsidR="00936ADE" w:rsidRPr="00ED7184">
              <w:rPr>
                <w:rStyle w:val="Hipervnculo"/>
                <w:rFonts w:ascii="Arial" w:hAnsi="Arial" w:cs="Arial"/>
                <w:noProof/>
                <w:sz w:val="22"/>
                <w:szCs w:val="22"/>
              </w:rPr>
              <w:t>5.3.5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INFLUENZA: SEÑAL DE RIESGO RESPIRATORIO EN GRUPOS PRIORIZADOS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43</w:t>
            </w:r>
            <w:r w:rsidR="00ED7184" w:rsidRPr="00ED7184">
              <w:rPr>
                <w:rFonts w:ascii="Arial" w:hAnsi="Arial" w:cs="Arial"/>
                <w:noProof/>
                <w:webHidden/>
                <w:sz w:val="22"/>
                <w:szCs w:val="22"/>
              </w:rPr>
              <w:fldChar w:fldCharType="end"/>
            </w:r>
          </w:hyperlink>
        </w:p>
        <w:p w14:paraId="510F2C45" w14:textId="7FA26DA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2" w:history="1">
            <w:r w:rsidR="00936ADE" w:rsidRPr="00ED7184">
              <w:rPr>
                <w:rStyle w:val="Hipervnculo"/>
                <w:rFonts w:ascii="Arial" w:hAnsi="Arial" w:cs="Arial"/>
                <w:noProof/>
                <w:sz w:val="22"/>
                <w:szCs w:val="22"/>
              </w:rPr>
              <w:t>5.3.6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VACUNACIÓN CONTRA SARAMPIÓN-RUBÉOLA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44</w:t>
            </w:r>
            <w:r w:rsidR="00ED7184" w:rsidRPr="00ED7184">
              <w:rPr>
                <w:rFonts w:ascii="Arial" w:hAnsi="Arial" w:cs="Arial"/>
                <w:noProof/>
                <w:webHidden/>
                <w:sz w:val="22"/>
                <w:szCs w:val="22"/>
              </w:rPr>
              <w:fldChar w:fldCharType="end"/>
            </w:r>
          </w:hyperlink>
        </w:p>
        <w:p w14:paraId="4E2245EE" w14:textId="29174A67"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3" w:history="1">
            <w:r w:rsidR="00936ADE" w:rsidRPr="00ED7184">
              <w:rPr>
                <w:rStyle w:val="Hipervnculo"/>
                <w:rFonts w:ascii="Arial" w:hAnsi="Arial" w:cs="Arial"/>
                <w:noProof/>
                <w:sz w:val="22"/>
                <w:szCs w:val="22"/>
                <w:lang w:val="es-ES"/>
              </w:rPr>
              <w:t>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RED PRESTADORA Y CAPACIDAD INSTALADA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45</w:t>
            </w:r>
            <w:r w:rsidR="00ED7184" w:rsidRPr="00ED7184">
              <w:rPr>
                <w:rFonts w:ascii="Arial" w:hAnsi="Arial" w:cs="Arial"/>
                <w:noProof/>
                <w:webHidden/>
                <w:sz w:val="22"/>
                <w:szCs w:val="22"/>
              </w:rPr>
              <w:fldChar w:fldCharType="end"/>
            </w:r>
          </w:hyperlink>
        </w:p>
        <w:p w14:paraId="13E1A6C3" w14:textId="0AE6A4D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4" w:history="1">
            <w:r w:rsidR="00936ADE" w:rsidRPr="00ED7184">
              <w:rPr>
                <w:rStyle w:val="Hipervnculo"/>
                <w:rFonts w:ascii="Arial" w:hAnsi="Arial" w:cs="Arial"/>
                <w:noProof/>
                <w:sz w:val="22"/>
                <w:szCs w:val="22"/>
              </w:rPr>
              <w:t>6.1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ANÁLISIS COOSALUD VS GRUPO DE ATENCIÓN Y MONITOREO EN SALUD – GAMA SECRETARÍA DISTRITAL DE SALUD – RED PRESTADORA</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45</w:t>
            </w:r>
            <w:r w:rsidR="00ED7184" w:rsidRPr="00ED7184">
              <w:rPr>
                <w:rFonts w:ascii="Arial" w:hAnsi="Arial" w:cs="Arial"/>
                <w:noProof/>
                <w:webHidden/>
                <w:sz w:val="22"/>
                <w:szCs w:val="22"/>
              </w:rPr>
              <w:fldChar w:fldCharType="end"/>
            </w:r>
          </w:hyperlink>
        </w:p>
        <w:p w14:paraId="52C73E83" w14:textId="7D55180A"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5" w:history="1">
            <w:r w:rsidR="00936ADE" w:rsidRPr="00ED7184">
              <w:rPr>
                <w:rStyle w:val="Hipervnculo"/>
                <w:rFonts w:ascii="Arial" w:hAnsi="Arial" w:cs="Arial"/>
                <w:noProof/>
                <w:sz w:val="22"/>
                <w:szCs w:val="22"/>
              </w:rPr>
              <w:t>6.2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eastAsia="Arial" w:hAnsi="Arial" w:cs="Arial"/>
                <w:noProof/>
                <w:sz w:val="22"/>
                <w:szCs w:val="22"/>
                <w:lang w:val="es"/>
              </w:rPr>
              <w:t>ANÁLISIS COOSALUD EPS OPORTUNIDAD EN LA ASIGNACIÓN DE CITAS MÉDICAS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40B5FFDB" w14:textId="261D70C1"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6" w:history="1">
            <w:r w:rsidR="00936ADE" w:rsidRPr="00ED7184">
              <w:rPr>
                <w:rStyle w:val="Hipervnculo"/>
                <w:rFonts w:ascii="Arial" w:hAnsi="Arial" w:cs="Arial"/>
                <w:noProof/>
                <w:sz w:val="22"/>
                <w:szCs w:val="22"/>
                <w:lang w:val="es-ES"/>
              </w:rPr>
              <w:t>7.</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MEDICAMENTOS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21254D5A" w14:textId="40AC73F0"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7" w:history="1">
            <w:r w:rsidR="00936ADE" w:rsidRPr="00ED7184">
              <w:rPr>
                <w:rStyle w:val="Hipervnculo"/>
                <w:rFonts w:ascii="Arial" w:hAnsi="Arial" w:cs="Arial"/>
                <w:noProof/>
                <w:sz w:val="22"/>
                <w:szCs w:val="22"/>
                <w:bdr w:val="none" w:sz="0" w:space="0" w:color="auto" w:frame="1"/>
              </w:rPr>
              <w:t>7.1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ANÁLISIS DE INFORMACIÓN DEL SERVICIO FARMACÉUTICO APORTADA POR COOSALUD</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50</w:t>
            </w:r>
            <w:r w:rsidR="00ED7184" w:rsidRPr="00ED7184">
              <w:rPr>
                <w:rFonts w:ascii="Arial" w:hAnsi="Arial" w:cs="Arial"/>
                <w:noProof/>
                <w:webHidden/>
                <w:sz w:val="22"/>
                <w:szCs w:val="22"/>
              </w:rPr>
              <w:fldChar w:fldCharType="end"/>
            </w:r>
          </w:hyperlink>
        </w:p>
        <w:p w14:paraId="2F15328A" w14:textId="23DA3DED"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58" w:history="1">
            <w:r w:rsidR="00936ADE" w:rsidRPr="00ED7184">
              <w:rPr>
                <w:rStyle w:val="Hipervnculo"/>
                <w:rFonts w:ascii="Arial" w:hAnsi="Arial" w:cs="Arial"/>
                <w:noProof/>
                <w:sz w:val="22"/>
                <w:szCs w:val="22"/>
                <w:lang w:val="es-ES"/>
              </w:rPr>
              <w:t>8.</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lang w:val="es-ES"/>
              </w:rPr>
              <w:t>ANÁLISIS FINANCIERO INFORME COOSALUD</w:t>
            </w:r>
            <w:r w:rsidR="00936ADE" w:rsidRPr="00ED7184">
              <w:rPr>
                <w:rStyle w:val="Hipervnculo"/>
                <w:rFonts w:ascii="Arial" w:hAnsi="Arial" w:cs="Arial"/>
                <w:noProof/>
                <w:sz w:val="22"/>
                <w:szCs w:val="22"/>
              </w:rPr>
              <w:t xml:space="preserve"> EPS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_Toc229397858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52</w:t>
            </w:r>
            <w:r w:rsidR="00ED7184" w:rsidRPr="00ED7184">
              <w:rPr>
                <w:rFonts w:ascii="Arial" w:hAnsi="Arial" w:cs="Arial"/>
                <w:noProof/>
                <w:webHidden/>
                <w:sz w:val="22"/>
                <w:szCs w:val="22"/>
              </w:rPr>
              <w:fldChar w:fldCharType="end"/>
            </w:r>
          </w:hyperlink>
        </w:p>
        <w:p w14:paraId="5B409E7D" w14:textId="618CC9D3"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9" w:history="1">
            <w:r w:rsidR="00936ADE" w:rsidRPr="00ED7184">
              <w:rPr>
                <w:rStyle w:val="Hipervnculo"/>
                <w:rFonts w:ascii="Arial" w:hAnsi="Arial" w:cs="Arial"/>
                <w:noProof/>
                <w:sz w:val="22"/>
                <w:szCs w:val="22"/>
              </w:rPr>
              <w:t>8.1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ESTADO DE LA SITUACIÓN FINANCIERA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_Toc229397859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52</w:t>
            </w:r>
            <w:r w:rsidR="00ED7184" w:rsidRPr="00ED7184">
              <w:rPr>
                <w:rFonts w:ascii="Arial" w:hAnsi="Arial" w:cs="Arial"/>
                <w:noProof/>
                <w:webHidden/>
                <w:sz w:val="22"/>
                <w:szCs w:val="22"/>
              </w:rPr>
              <w:fldChar w:fldCharType="end"/>
            </w:r>
          </w:hyperlink>
        </w:p>
        <w:p w14:paraId="590D10C1" w14:textId="4D67F68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0" w:history="1">
            <w:r w:rsidR="00936ADE" w:rsidRPr="00ED7184">
              <w:rPr>
                <w:rStyle w:val="Hipervnculo"/>
                <w:rFonts w:ascii="Arial" w:hAnsi="Arial" w:cs="Arial"/>
                <w:noProof/>
                <w:sz w:val="22"/>
                <w:szCs w:val="22"/>
              </w:rPr>
              <w:t>8.2</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CUENTAS POR PAGAR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_Toc229397860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57</w:t>
            </w:r>
            <w:r w:rsidR="00ED7184" w:rsidRPr="00ED7184">
              <w:rPr>
                <w:rFonts w:ascii="Arial" w:hAnsi="Arial" w:cs="Arial"/>
                <w:noProof/>
                <w:webHidden/>
                <w:sz w:val="22"/>
                <w:szCs w:val="22"/>
              </w:rPr>
              <w:fldChar w:fldCharType="end"/>
            </w:r>
          </w:hyperlink>
        </w:p>
        <w:p w14:paraId="654892CE" w14:textId="79A1F3CC"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1" w:history="1">
            <w:r w:rsidR="00936ADE" w:rsidRPr="00ED7184">
              <w:rPr>
                <w:rStyle w:val="Hipervnculo"/>
                <w:rFonts w:ascii="Arial" w:hAnsi="Arial" w:cs="Arial"/>
                <w:noProof/>
                <w:sz w:val="22"/>
                <w:szCs w:val="22"/>
              </w:rPr>
              <w:t>8.3</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RESERVAS TÉCNICAS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_Toc229397861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59</w:t>
            </w:r>
            <w:r w:rsidR="00ED7184" w:rsidRPr="00ED7184">
              <w:rPr>
                <w:rFonts w:ascii="Arial" w:hAnsi="Arial" w:cs="Arial"/>
                <w:noProof/>
                <w:webHidden/>
                <w:sz w:val="22"/>
                <w:szCs w:val="22"/>
              </w:rPr>
              <w:fldChar w:fldCharType="end"/>
            </w:r>
          </w:hyperlink>
        </w:p>
        <w:p w14:paraId="2C34C8BF" w14:textId="647157BB"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2" w:history="1">
            <w:r w:rsidR="00936ADE" w:rsidRPr="00ED7184">
              <w:rPr>
                <w:rStyle w:val="Hipervnculo"/>
                <w:rFonts w:ascii="Arial" w:hAnsi="Arial" w:cs="Arial"/>
                <w:noProof/>
                <w:sz w:val="22"/>
                <w:szCs w:val="22"/>
              </w:rPr>
              <w:t>8.4</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PATRIMONIO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_Toc229397862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62</w:t>
            </w:r>
            <w:r w:rsidR="00ED7184" w:rsidRPr="00ED7184">
              <w:rPr>
                <w:rFonts w:ascii="Arial" w:hAnsi="Arial" w:cs="Arial"/>
                <w:noProof/>
                <w:webHidden/>
                <w:sz w:val="22"/>
                <w:szCs w:val="22"/>
              </w:rPr>
              <w:fldChar w:fldCharType="end"/>
            </w:r>
          </w:hyperlink>
        </w:p>
        <w:p w14:paraId="00060E0C" w14:textId="497EE71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3" w:history="1">
            <w:r w:rsidR="00936ADE" w:rsidRPr="00ED7184">
              <w:rPr>
                <w:rStyle w:val="Hipervnculo"/>
                <w:rFonts w:ascii="Arial" w:hAnsi="Arial" w:cs="Arial"/>
                <w:noProof/>
                <w:sz w:val="22"/>
                <w:szCs w:val="22"/>
              </w:rPr>
              <w:t>8.5</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ENDEUDAMIENTO (2021–2025)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_Toc229397863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64</w:t>
            </w:r>
            <w:r w:rsidR="00ED7184" w:rsidRPr="00ED7184">
              <w:rPr>
                <w:rFonts w:ascii="Arial" w:hAnsi="Arial" w:cs="Arial"/>
                <w:noProof/>
                <w:webHidden/>
                <w:sz w:val="22"/>
                <w:szCs w:val="22"/>
              </w:rPr>
              <w:fldChar w:fldCharType="end"/>
            </w:r>
          </w:hyperlink>
        </w:p>
        <w:p w14:paraId="0355A0DB" w14:textId="17E0CD85" w:rsidR="00ED7184" w:rsidRPr="00ED7184" w:rsidRDefault="00000000"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4" w:history="1">
            <w:r w:rsidR="00936ADE" w:rsidRPr="00ED7184">
              <w:rPr>
                <w:rStyle w:val="Hipervnculo"/>
                <w:rFonts w:ascii="Arial" w:hAnsi="Arial" w:cs="Arial"/>
                <w:noProof/>
                <w:sz w:val="22"/>
                <w:szCs w:val="22"/>
              </w:rPr>
              <w:t>8.6</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SINIESTRALIDAD (ENERO A DICIEMBRE DE 2025)</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_Toc229397864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67</w:t>
            </w:r>
            <w:r w:rsidR="00ED7184" w:rsidRPr="00ED7184">
              <w:rPr>
                <w:rFonts w:ascii="Arial" w:hAnsi="Arial" w:cs="Arial"/>
                <w:noProof/>
                <w:webHidden/>
                <w:sz w:val="22"/>
                <w:szCs w:val="22"/>
              </w:rPr>
              <w:fldChar w:fldCharType="end"/>
            </w:r>
          </w:hyperlink>
        </w:p>
        <w:p w14:paraId="07089169" w14:textId="7EBB4538"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5" w:history="1">
            <w:r w:rsidR="00936ADE" w:rsidRPr="00ED7184">
              <w:rPr>
                <w:rStyle w:val="Hipervnculo"/>
                <w:rFonts w:ascii="Arial" w:hAnsi="Arial" w:cs="Arial"/>
                <w:noProof/>
                <w:sz w:val="22"/>
                <w:szCs w:val="22"/>
              </w:rPr>
              <w:t>9.</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CONCLUSIONES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_Toc229397865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69</w:t>
            </w:r>
            <w:r w:rsidR="00ED7184" w:rsidRPr="00ED7184">
              <w:rPr>
                <w:rFonts w:ascii="Arial" w:hAnsi="Arial" w:cs="Arial"/>
                <w:noProof/>
                <w:webHidden/>
                <w:sz w:val="22"/>
                <w:szCs w:val="22"/>
              </w:rPr>
              <w:fldChar w:fldCharType="end"/>
            </w:r>
          </w:hyperlink>
        </w:p>
        <w:p w14:paraId="6EBF0B7A" w14:textId="0C5A6935"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6" w:history="1">
            <w:r w:rsidR="00936ADE" w:rsidRPr="00ED7184">
              <w:rPr>
                <w:rStyle w:val="Hipervnculo"/>
                <w:rFonts w:ascii="Arial" w:hAnsi="Arial" w:cs="Arial"/>
                <w:noProof/>
                <w:sz w:val="22"/>
                <w:szCs w:val="22"/>
              </w:rPr>
              <w:t>10.</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GLOSARIO DE TERMINOS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70</w:t>
            </w:r>
            <w:r w:rsidR="00ED7184" w:rsidRPr="00ED7184">
              <w:rPr>
                <w:rFonts w:ascii="Arial" w:hAnsi="Arial" w:cs="Arial"/>
                <w:noProof/>
                <w:webHidden/>
                <w:sz w:val="22"/>
                <w:szCs w:val="22"/>
              </w:rPr>
              <w:fldChar w:fldCharType="end"/>
            </w:r>
          </w:hyperlink>
        </w:p>
        <w:p w14:paraId="32284705" w14:textId="7348E6B8" w:rsidR="00ED7184" w:rsidRPr="00ED7184" w:rsidRDefault="00000000" w:rsidP="00ED7184">
          <w:pPr>
            <w:pStyle w:val="TDC1"/>
            <w:rPr>
              <w:rFonts w:ascii="Arial" w:eastAsiaTheme="minorEastAsia" w:hAnsi="Arial" w:cs="Arial"/>
              <w:noProof/>
              <w:kern w:val="2"/>
              <w:sz w:val="22"/>
              <w:szCs w:val="22"/>
              <w:lang w:eastAsia="es-CO"/>
              <w14:ligatures w14:val="standardContextual"/>
            </w:rPr>
          </w:pPr>
          <w:hyperlink w:anchor="_Toc229397867" w:history="1">
            <w:r w:rsidR="00936ADE" w:rsidRPr="00ED7184">
              <w:rPr>
                <w:rStyle w:val="Hipervnculo"/>
                <w:rFonts w:ascii="Arial" w:hAnsi="Arial" w:cs="Arial"/>
                <w:noProof/>
                <w:sz w:val="22"/>
                <w:szCs w:val="22"/>
              </w:rPr>
              <w:t>11.</w:t>
            </w:r>
            <w:r w:rsidR="00936ADE" w:rsidRPr="00ED7184">
              <w:rPr>
                <w:rFonts w:ascii="Arial" w:eastAsiaTheme="minorEastAsia" w:hAnsi="Arial" w:cs="Arial"/>
                <w:noProof/>
                <w:kern w:val="2"/>
                <w:sz w:val="22"/>
                <w:szCs w:val="22"/>
                <w:lang w:eastAsia="es-CO"/>
                <w14:ligatures w14:val="standardContextual"/>
              </w:rPr>
              <w:tab/>
            </w:r>
            <w:r w:rsidR="00936ADE" w:rsidRPr="00ED7184">
              <w:rPr>
                <w:rStyle w:val="Hipervnculo"/>
                <w:rFonts w:ascii="Arial" w:hAnsi="Arial" w:cs="Arial"/>
                <w:noProof/>
                <w:sz w:val="22"/>
                <w:szCs w:val="22"/>
              </w:rPr>
              <w:t>REFERENCIAS BIBLIOGRÁFICAS</w:t>
            </w:r>
            <w:r w:rsidR="00936ADE"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_Toc229397867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936ADE" w:rsidRPr="00ED7184">
              <w:rPr>
                <w:rFonts w:ascii="Arial" w:hAnsi="Arial" w:cs="Arial"/>
                <w:noProof/>
                <w:webHidden/>
                <w:sz w:val="22"/>
                <w:szCs w:val="22"/>
              </w:rPr>
              <w:t>73</w:t>
            </w:r>
            <w:r w:rsidR="00ED7184" w:rsidRPr="00ED7184">
              <w:rPr>
                <w:rFonts w:ascii="Arial" w:hAnsi="Arial" w:cs="Arial"/>
                <w:noProof/>
                <w:webHidden/>
                <w:sz w:val="22"/>
                <w:szCs w:val="22"/>
              </w:rPr>
              <w:fldChar w:fldCharType="end"/>
            </w:r>
          </w:hyperlink>
        </w:p>
        <w:p w14:paraId="48977EFD" w14:textId="4E394A48" w:rsidR="00C30FD4" w:rsidRPr="00ED7184" w:rsidRDefault="00C30FD4" w:rsidP="00ED7184">
          <w:pPr>
            <w:spacing w:line="360" w:lineRule="auto"/>
            <w:jc w:val="both"/>
            <w:rPr>
              <w:rFonts w:ascii="Arial" w:hAnsi="Arial" w:cs="Arial"/>
              <w:sz w:val="22"/>
              <w:szCs w:val="22"/>
            </w:rPr>
          </w:pPr>
          <w:r w:rsidRPr="00ED7184">
            <w:rPr>
              <w:rFonts w:ascii="Arial" w:hAnsi="Arial" w:cs="Arial"/>
              <w:sz w:val="22"/>
              <w:szCs w:val="22"/>
              <w:lang w:val="es-ES"/>
            </w:rPr>
            <w:fldChar w:fldCharType="end"/>
          </w:r>
        </w:p>
      </w:sdtContent>
    </w:sdt>
    <w:p w14:paraId="41E4EA3E" w14:textId="3AA83AEB" w:rsidR="005413D2" w:rsidRDefault="005F3242" w:rsidP="005F3242">
      <w:pPr>
        <w:pStyle w:val="Ttulo1"/>
        <w:spacing w:before="0" w:line="360" w:lineRule="auto"/>
        <w:rPr>
          <w:rFonts w:ascii="Arial" w:eastAsia="Arial" w:hAnsi="Arial" w:cs="Arial"/>
          <w:b/>
          <w:bCs/>
          <w:color w:val="auto"/>
          <w:sz w:val="22"/>
          <w:szCs w:val="22"/>
        </w:rPr>
      </w:pPr>
      <w:bookmarkStart w:id="1" w:name="_Toc229397826"/>
      <w:r>
        <w:rPr>
          <w:rFonts w:ascii="Arial" w:eastAsia="Arial" w:hAnsi="Arial" w:cs="Arial"/>
          <w:b/>
          <w:bCs/>
          <w:color w:val="auto"/>
          <w:sz w:val="22"/>
          <w:szCs w:val="22"/>
        </w:rPr>
        <w:t>Í</w:t>
      </w:r>
      <w:r w:rsidR="008036C2" w:rsidRPr="008053AF">
        <w:rPr>
          <w:rFonts w:ascii="Arial" w:eastAsia="Arial" w:hAnsi="Arial" w:cs="Arial"/>
          <w:b/>
          <w:bCs/>
          <w:color w:val="auto"/>
          <w:sz w:val="22"/>
          <w:szCs w:val="22"/>
        </w:rPr>
        <w:t>NDICE DE TABLAS</w:t>
      </w:r>
      <w:bookmarkEnd w:id="1"/>
    </w:p>
    <w:p w14:paraId="24F66723" w14:textId="77777777" w:rsidR="0088735C" w:rsidRPr="0088735C" w:rsidRDefault="0088735C" w:rsidP="0088735C">
      <w:pPr>
        <w:rPr>
          <w:rFonts w:eastAsia="Arial"/>
        </w:rPr>
      </w:pPr>
    </w:p>
    <w:p w14:paraId="73BF38A7" w14:textId="3744FCAC" w:rsidR="008053AF" w:rsidRPr="008053AF" w:rsidRDefault="008036C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"Tabla" </w:instrText>
      </w:r>
      <w:r w:rsidRPr="008053AF">
        <w:rPr>
          <w:rFonts w:ascii="Arial" w:hAnsi="Arial" w:cs="Arial"/>
          <w:b/>
          <w:bCs/>
          <w:sz w:val="22"/>
          <w:szCs w:val="22"/>
        </w:rPr>
        <w:fldChar w:fldCharType="separate"/>
      </w:r>
      <w:hyperlink w:anchor="_Toc229395858" w:history="1">
        <w:r w:rsidR="008053AF" w:rsidRPr="008053AF">
          <w:rPr>
            <w:rStyle w:val="Hipervnculo"/>
            <w:rFonts w:ascii="Arial" w:hAnsi="Arial" w:cs="Arial"/>
            <w:noProof/>
            <w:sz w:val="22"/>
            <w:szCs w:val="22"/>
          </w:rPr>
          <w:t xml:space="preserve">Tabla 1. </w:t>
        </w:r>
        <w:r w:rsidR="008053AF" w:rsidRPr="008053AF">
          <w:rPr>
            <w:rStyle w:val="Hipervnculo"/>
            <w:rFonts w:ascii="Arial" w:eastAsia="Arial" w:hAnsi="Arial" w:cs="Arial"/>
            <w:noProof/>
            <w:sz w:val="22"/>
            <w:szCs w:val="22"/>
            <w:lang w:val="es"/>
          </w:rPr>
          <w:t>Estado del aseguramiento población de Bogotá,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_Toc229395858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8</w:t>
        </w:r>
        <w:r w:rsidR="008053AF" w:rsidRPr="008053AF">
          <w:rPr>
            <w:rFonts w:ascii="Arial" w:hAnsi="Arial" w:cs="Arial"/>
            <w:noProof/>
            <w:webHidden/>
            <w:sz w:val="22"/>
            <w:szCs w:val="22"/>
          </w:rPr>
          <w:fldChar w:fldCharType="end"/>
        </w:r>
      </w:hyperlink>
    </w:p>
    <w:p w14:paraId="09ED5F8C" w14:textId="5147BE4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59" w:history="1">
        <w:r w:rsidR="008053AF" w:rsidRPr="008053AF">
          <w:rPr>
            <w:rStyle w:val="Hipervnculo"/>
            <w:rFonts w:ascii="Arial" w:hAnsi="Arial" w:cs="Arial"/>
            <w:noProof/>
            <w:sz w:val="22"/>
            <w:szCs w:val="22"/>
          </w:rPr>
          <w:t xml:space="preserve">Tabla 2. </w:t>
        </w:r>
        <w:r w:rsidR="008053AF" w:rsidRPr="008053AF">
          <w:rPr>
            <w:rStyle w:val="Hipervnculo"/>
            <w:rFonts w:ascii="Arial" w:eastAsia="Arial" w:hAnsi="Arial" w:cs="Arial"/>
            <w:noProof/>
            <w:sz w:val="22"/>
            <w:szCs w:val="22"/>
            <w:lang w:val="es"/>
          </w:rPr>
          <w:t>Afiliados en Bogotá por EPS,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_Toc229395859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8</w:t>
        </w:r>
        <w:r w:rsidR="008053AF" w:rsidRPr="008053AF">
          <w:rPr>
            <w:rFonts w:ascii="Arial" w:hAnsi="Arial" w:cs="Arial"/>
            <w:noProof/>
            <w:webHidden/>
            <w:sz w:val="22"/>
            <w:szCs w:val="22"/>
          </w:rPr>
          <w:fldChar w:fldCharType="end"/>
        </w:r>
      </w:hyperlink>
    </w:p>
    <w:p w14:paraId="72774184" w14:textId="3135C5B6"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0" w:history="1">
        <w:r w:rsidR="008053AF" w:rsidRPr="008053AF">
          <w:rPr>
            <w:rStyle w:val="Hipervnculo"/>
            <w:rFonts w:ascii="Arial" w:hAnsi="Arial" w:cs="Arial"/>
            <w:noProof/>
            <w:sz w:val="22"/>
            <w:szCs w:val="22"/>
          </w:rPr>
          <w:t xml:space="preserve">Tabla 3. </w:t>
        </w:r>
        <w:r w:rsidR="008053AF" w:rsidRPr="008053AF">
          <w:rPr>
            <w:rStyle w:val="Hipervnculo"/>
            <w:rFonts w:ascii="Arial" w:eastAsia="Arial" w:hAnsi="Arial" w:cs="Arial"/>
            <w:noProof/>
            <w:sz w:val="22"/>
            <w:szCs w:val="22"/>
          </w:rPr>
          <w:t>Total, de población afiliada a COOSALUD EPS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10</w:t>
        </w:r>
        <w:r w:rsidR="008053AF" w:rsidRPr="008053AF">
          <w:rPr>
            <w:rFonts w:ascii="Arial" w:hAnsi="Arial" w:cs="Arial"/>
            <w:noProof/>
            <w:webHidden/>
            <w:sz w:val="22"/>
            <w:szCs w:val="22"/>
          </w:rPr>
          <w:fldChar w:fldCharType="end"/>
        </w:r>
      </w:hyperlink>
    </w:p>
    <w:p w14:paraId="641965FA" w14:textId="60FB6C54"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1" w:history="1">
        <w:r w:rsidR="008053AF" w:rsidRPr="008053AF">
          <w:rPr>
            <w:rStyle w:val="Hipervnculo"/>
            <w:rFonts w:ascii="Arial" w:eastAsia="Arial" w:hAnsi="Arial" w:cs="Arial"/>
            <w:noProof/>
            <w:sz w:val="22"/>
            <w:szCs w:val="22"/>
          </w:rPr>
          <w:t>Tabla 4. Afiliados COOSALUD EPS municipios circunvecinos por régimen 2021-2025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14</w:t>
        </w:r>
        <w:r w:rsidR="008053AF" w:rsidRPr="008053AF">
          <w:rPr>
            <w:rFonts w:ascii="Arial" w:hAnsi="Arial" w:cs="Arial"/>
            <w:noProof/>
            <w:webHidden/>
            <w:sz w:val="22"/>
            <w:szCs w:val="22"/>
          </w:rPr>
          <w:fldChar w:fldCharType="end"/>
        </w:r>
      </w:hyperlink>
    </w:p>
    <w:p w14:paraId="3D6A1FEE" w14:textId="49285F9E"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2" w:history="1">
        <w:r w:rsidR="008053AF" w:rsidRPr="008053AF">
          <w:rPr>
            <w:rStyle w:val="Hipervnculo"/>
            <w:rFonts w:ascii="Arial" w:hAnsi="Arial" w:cs="Arial"/>
            <w:noProof/>
            <w:sz w:val="22"/>
            <w:szCs w:val="22"/>
          </w:rPr>
          <w:t>Tabla 5. Participación de los afiliados de Coosalud de Bogotá D.C en la afiliación nacional de Coosalud EPSS a 31 de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15</w:t>
        </w:r>
        <w:r w:rsidR="008053AF" w:rsidRPr="008053AF">
          <w:rPr>
            <w:rFonts w:ascii="Arial" w:hAnsi="Arial" w:cs="Arial"/>
            <w:noProof/>
            <w:webHidden/>
            <w:sz w:val="22"/>
            <w:szCs w:val="22"/>
          </w:rPr>
          <w:fldChar w:fldCharType="end"/>
        </w:r>
      </w:hyperlink>
    </w:p>
    <w:p w14:paraId="2B57CDD2" w14:textId="072FDC38"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3" w:history="1">
        <w:r w:rsidR="008053AF" w:rsidRPr="008053AF">
          <w:rPr>
            <w:rStyle w:val="Hipervnculo"/>
            <w:rFonts w:ascii="Arial" w:hAnsi="Arial" w:cs="Arial"/>
            <w:noProof/>
            <w:sz w:val="22"/>
            <w:szCs w:val="22"/>
          </w:rPr>
          <w:t>Tabla 6. Afiliados de Coosalud EPS por rango de edad, Bogotá,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17</w:t>
        </w:r>
        <w:r w:rsidR="008053AF" w:rsidRPr="008053AF">
          <w:rPr>
            <w:rFonts w:ascii="Arial" w:hAnsi="Arial" w:cs="Arial"/>
            <w:noProof/>
            <w:webHidden/>
            <w:sz w:val="22"/>
            <w:szCs w:val="22"/>
          </w:rPr>
          <w:fldChar w:fldCharType="end"/>
        </w:r>
      </w:hyperlink>
    </w:p>
    <w:p w14:paraId="627FBB64" w14:textId="4BBF17E6"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4" w:history="1">
        <w:r w:rsidR="008053AF" w:rsidRPr="008053AF">
          <w:rPr>
            <w:rStyle w:val="Hipervnculo"/>
            <w:rFonts w:ascii="Arial" w:eastAsia="Arial" w:hAnsi="Arial" w:cs="Arial"/>
            <w:noProof/>
            <w:sz w:val="22"/>
            <w:szCs w:val="22"/>
            <w:lang w:val="es-ES"/>
          </w:rPr>
          <w:t>Tabla 7. Porcentaje de Incumplimiento en la respuesta por Tipo de PQRS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23</w:t>
        </w:r>
        <w:r w:rsidR="008053AF" w:rsidRPr="008053AF">
          <w:rPr>
            <w:rFonts w:ascii="Arial" w:hAnsi="Arial" w:cs="Arial"/>
            <w:noProof/>
            <w:webHidden/>
            <w:sz w:val="22"/>
            <w:szCs w:val="22"/>
          </w:rPr>
          <w:fldChar w:fldCharType="end"/>
        </w:r>
      </w:hyperlink>
    </w:p>
    <w:p w14:paraId="5944DDD1" w14:textId="3AE4E1D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5" w:history="1">
        <w:r w:rsidR="008053AF" w:rsidRPr="008053AF">
          <w:rPr>
            <w:rStyle w:val="Hipervnculo"/>
            <w:rFonts w:ascii="Arial" w:eastAsia="Arial" w:hAnsi="Arial" w:cs="Arial"/>
            <w:noProof/>
            <w:sz w:val="22"/>
            <w:szCs w:val="22"/>
            <w:lang w:val="es-ES"/>
          </w:rPr>
          <w:t>Tabla 8. Principales Motivos de Manifestaciones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26</w:t>
        </w:r>
        <w:r w:rsidR="008053AF" w:rsidRPr="008053AF">
          <w:rPr>
            <w:rFonts w:ascii="Arial" w:hAnsi="Arial" w:cs="Arial"/>
            <w:noProof/>
            <w:webHidden/>
            <w:sz w:val="22"/>
            <w:szCs w:val="22"/>
          </w:rPr>
          <w:fldChar w:fldCharType="end"/>
        </w:r>
      </w:hyperlink>
    </w:p>
    <w:p w14:paraId="41FE89BF" w14:textId="0ECD1132"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6" w:history="1">
        <w:r w:rsidR="008053AF" w:rsidRPr="008053AF">
          <w:rPr>
            <w:rStyle w:val="Hipervnculo"/>
            <w:rFonts w:ascii="Arial" w:hAnsi="Arial" w:cs="Arial"/>
            <w:noProof/>
            <w:sz w:val="22"/>
            <w:szCs w:val="22"/>
          </w:rPr>
          <w:t>Tabla 9. Total, de PQRS año 2025 EPS Coosalud</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28</w:t>
        </w:r>
        <w:r w:rsidR="008053AF" w:rsidRPr="008053AF">
          <w:rPr>
            <w:rFonts w:ascii="Arial" w:hAnsi="Arial" w:cs="Arial"/>
            <w:noProof/>
            <w:webHidden/>
            <w:sz w:val="22"/>
            <w:szCs w:val="22"/>
          </w:rPr>
          <w:fldChar w:fldCharType="end"/>
        </w:r>
      </w:hyperlink>
    </w:p>
    <w:p w14:paraId="5CF730AA" w14:textId="779221A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7" w:history="1">
        <w:r w:rsidR="008053AF" w:rsidRPr="008053AF">
          <w:rPr>
            <w:rStyle w:val="Hipervnculo"/>
            <w:rFonts w:ascii="Arial" w:hAnsi="Arial" w:cs="Arial"/>
            <w:noProof/>
            <w:sz w:val="22"/>
            <w:szCs w:val="22"/>
          </w:rPr>
          <w:t>Tabla 10. Barreras de Acceso EPS COOSALUD año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_Toc229395867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31</w:t>
        </w:r>
        <w:r w:rsidR="008053AF" w:rsidRPr="008053AF">
          <w:rPr>
            <w:rFonts w:ascii="Arial" w:hAnsi="Arial" w:cs="Arial"/>
            <w:noProof/>
            <w:webHidden/>
            <w:sz w:val="22"/>
            <w:szCs w:val="22"/>
          </w:rPr>
          <w:fldChar w:fldCharType="end"/>
        </w:r>
      </w:hyperlink>
    </w:p>
    <w:p w14:paraId="1212C027" w14:textId="6A2DA65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8" w:history="1">
        <w:r w:rsidR="008053AF" w:rsidRPr="008053AF">
          <w:rPr>
            <w:rStyle w:val="Hipervnculo"/>
            <w:rFonts w:ascii="Arial" w:hAnsi="Arial" w:cs="Arial"/>
            <w:bCs/>
            <w:noProof/>
            <w:sz w:val="22"/>
            <w:szCs w:val="22"/>
            <w:lang w:val="es-MX"/>
          </w:rPr>
          <w:t>Tabla 11. Casos y tasas de mortalidad infantil en la EAPB Coosalud, Bogotá D.C, periodo enero – diciembre 2025 preliminar.</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36</w:t>
        </w:r>
        <w:r w:rsidR="008053AF" w:rsidRPr="008053AF">
          <w:rPr>
            <w:rFonts w:ascii="Arial" w:hAnsi="Arial" w:cs="Arial"/>
            <w:noProof/>
            <w:webHidden/>
            <w:sz w:val="22"/>
            <w:szCs w:val="22"/>
          </w:rPr>
          <w:fldChar w:fldCharType="end"/>
        </w:r>
      </w:hyperlink>
    </w:p>
    <w:p w14:paraId="74625C33" w14:textId="7F871B38"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9" w:history="1">
        <w:r w:rsidR="008053AF" w:rsidRPr="008053AF">
          <w:rPr>
            <w:rStyle w:val="Hipervnculo"/>
            <w:rFonts w:ascii="Arial" w:hAnsi="Arial" w:cs="Arial"/>
            <w:bCs/>
            <w:noProof/>
            <w:sz w:val="22"/>
            <w:szCs w:val="22"/>
            <w:lang w:val="es-MX"/>
          </w:rPr>
          <w:t>Tabla 12. Proporción de causas básicas de mortalidad infantil en la EAPB Coosalud, Bogotá D.C, periodo enero – diciembre 2025 preliminar.</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_Toc229395869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37</w:t>
        </w:r>
        <w:r w:rsidR="008053AF" w:rsidRPr="008053AF">
          <w:rPr>
            <w:rFonts w:ascii="Arial" w:hAnsi="Arial" w:cs="Arial"/>
            <w:noProof/>
            <w:webHidden/>
            <w:sz w:val="22"/>
            <w:szCs w:val="22"/>
          </w:rPr>
          <w:fldChar w:fldCharType="end"/>
        </w:r>
      </w:hyperlink>
    </w:p>
    <w:p w14:paraId="7C780E07" w14:textId="14E1A52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0" w:history="1">
        <w:r w:rsidR="008053AF" w:rsidRPr="008053AF">
          <w:rPr>
            <w:rStyle w:val="Hipervnculo"/>
            <w:rFonts w:ascii="Arial" w:hAnsi="Arial" w:cs="Arial"/>
            <w:bCs/>
            <w:noProof/>
            <w:sz w:val="22"/>
            <w:szCs w:val="22"/>
            <w:lang w:val="es-MX"/>
          </w:rPr>
          <w:t>Tabla 13. Coberturas trazadoras del PAI en población infantil afiliada a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39</w:t>
        </w:r>
        <w:r w:rsidR="008053AF" w:rsidRPr="008053AF">
          <w:rPr>
            <w:rFonts w:ascii="Arial" w:hAnsi="Arial" w:cs="Arial"/>
            <w:noProof/>
            <w:webHidden/>
            <w:sz w:val="22"/>
            <w:szCs w:val="22"/>
          </w:rPr>
          <w:fldChar w:fldCharType="end"/>
        </w:r>
      </w:hyperlink>
    </w:p>
    <w:p w14:paraId="24BF2C57" w14:textId="2426FFF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1" w:history="1">
        <w:r w:rsidR="008053AF" w:rsidRPr="008053AF">
          <w:rPr>
            <w:rStyle w:val="Hipervnculo"/>
            <w:rFonts w:ascii="Arial" w:hAnsi="Arial" w:cs="Arial"/>
            <w:noProof/>
            <w:sz w:val="22"/>
            <w:szCs w:val="22"/>
          </w:rPr>
          <w:t>Tabla 14: Cobertura de sarampión-rubéola por cohortes de nacimiento.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42</w:t>
        </w:r>
        <w:r w:rsidR="008053AF" w:rsidRPr="008053AF">
          <w:rPr>
            <w:rFonts w:ascii="Arial" w:hAnsi="Arial" w:cs="Arial"/>
            <w:noProof/>
            <w:webHidden/>
            <w:sz w:val="22"/>
            <w:szCs w:val="22"/>
          </w:rPr>
          <w:fldChar w:fldCharType="end"/>
        </w:r>
      </w:hyperlink>
    </w:p>
    <w:p w14:paraId="5514BA94" w14:textId="23B8934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2" w:history="1">
        <w:r w:rsidR="008053AF" w:rsidRPr="008053AF">
          <w:rPr>
            <w:rStyle w:val="Hipervnculo"/>
            <w:rFonts w:ascii="Arial" w:hAnsi="Arial" w:cs="Arial"/>
            <w:noProof/>
            <w:sz w:val="22"/>
            <w:szCs w:val="22"/>
          </w:rPr>
          <w:t>Tabla 15: Vacunación contra influenza cepa sur. COOSALUD EPS, Bogotá D. 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43</w:t>
        </w:r>
        <w:r w:rsidR="008053AF" w:rsidRPr="008053AF">
          <w:rPr>
            <w:rFonts w:ascii="Arial" w:hAnsi="Arial" w:cs="Arial"/>
            <w:noProof/>
            <w:webHidden/>
            <w:sz w:val="22"/>
            <w:szCs w:val="22"/>
          </w:rPr>
          <w:fldChar w:fldCharType="end"/>
        </w:r>
      </w:hyperlink>
    </w:p>
    <w:p w14:paraId="1746A9B8" w14:textId="24D8FF7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3" w:history="1">
        <w:r w:rsidR="008053AF" w:rsidRPr="008053AF">
          <w:rPr>
            <w:rStyle w:val="Hipervnculo"/>
            <w:rFonts w:ascii="Arial" w:hAnsi="Arial" w:cs="Arial"/>
            <w:bCs/>
            <w:noProof/>
            <w:sz w:val="22"/>
            <w:szCs w:val="22"/>
            <w:lang w:val="es-MX"/>
          </w:rPr>
          <w:t>Tabla 16. Casos reportados por EAPB</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46</w:t>
        </w:r>
        <w:r w:rsidR="008053AF" w:rsidRPr="008053AF">
          <w:rPr>
            <w:rFonts w:ascii="Arial" w:hAnsi="Arial" w:cs="Arial"/>
            <w:noProof/>
            <w:webHidden/>
            <w:sz w:val="22"/>
            <w:szCs w:val="22"/>
          </w:rPr>
          <w:fldChar w:fldCharType="end"/>
        </w:r>
      </w:hyperlink>
    </w:p>
    <w:p w14:paraId="0CE9A52E" w14:textId="27F62C5A"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4" w:history="1">
        <w:r w:rsidR="008053AF" w:rsidRPr="008053AF">
          <w:rPr>
            <w:rStyle w:val="Hipervnculo"/>
            <w:rFonts w:ascii="Arial" w:hAnsi="Arial" w:cs="Arial"/>
            <w:bCs/>
            <w:noProof/>
            <w:sz w:val="22"/>
            <w:szCs w:val="22"/>
            <w:lang w:val="es-MX"/>
          </w:rPr>
          <w:t>Tabla 17. Casos por IPS identificadas dentro de la red prestadora reportada por COOSALUD EPS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47</w:t>
        </w:r>
        <w:r w:rsidR="008053AF" w:rsidRPr="008053AF">
          <w:rPr>
            <w:rFonts w:ascii="Arial" w:hAnsi="Arial" w:cs="Arial"/>
            <w:noProof/>
            <w:webHidden/>
            <w:sz w:val="22"/>
            <w:szCs w:val="22"/>
          </w:rPr>
          <w:fldChar w:fldCharType="end"/>
        </w:r>
      </w:hyperlink>
    </w:p>
    <w:p w14:paraId="7A728510" w14:textId="7FFAFD2D"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5" w:history="1">
        <w:r w:rsidR="008053AF" w:rsidRPr="008053AF">
          <w:rPr>
            <w:rStyle w:val="Hipervnculo"/>
            <w:rFonts w:ascii="Arial" w:hAnsi="Arial" w:cs="Arial"/>
            <w:bCs/>
            <w:noProof/>
            <w:sz w:val="22"/>
            <w:szCs w:val="22"/>
            <w:lang w:val="es-MX"/>
          </w:rPr>
          <w:t>Tabla 18. Detalle de casos no identificados en el cruce con la red prestadora reportada por COOSALUD EPS.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48</w:t>
        </w:r>
        <w:r w:rsidR="008053AF" w:rsidRPr="008053AF">
          <w:rPr>
            <w:rFonts w:ascii="Arial" w:hAnsi="Arial" w:cs="Arial"/>
            <w:noProof/>
            <w:webHidden/>
            <w:sz w:val="22"/>
            <w:szCs w:val="22"/>
          </w:rPr>
          <w:fldChar w:fldCharType="end"/>
        </w:r>
      </w:hyperlink>
    </w:p>
    <w:p w14:paraId="1667AF3A" w14:textId="7EA242E0"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6" w:history="1">
        <w:r w:rsidR="008053AF" w:rsidRPr="008053AF">
          <w:rPr>
            <w:rStyle w:val="Hipervnculo"/>
            <w:rFonts w:ascii="Arial" w:eastAsia="Arial" w:hAnsi="Arial" w:cs="Arial"/>
            <w:noProof/>
            <w:sz w:val="22"/>
            <w:szCs w:val="22"/>
          </w:rPr>
          <w:t xml:space="preserve">Tabla </w:t>
        </w:r>
        <w:r w:rsidR="00912D02">
          <w:rPr>
            <w:rStyle w:val="Hipervnculo"/>
            <w:rFonts w:ascii="Arial" w:eastAsia="Arial" w:hAnsi="Arial" w:cs="Arial"/>
            <w:noProof/>
            <w:sz w:val="22"/>
            <w:szCs w:val="22"/>
          </w:rPr>
          <w:t>19</w:t>
        </w:r>
        <w:r w:rsidR="008053AF" w:rsidRPr="008053AF">
          <w:rPr>
            <w:rStyle w:val="Hipervnculo"/>
            <w:rFonts w:ascii="Arial" w:eastAsia="Arial" w:hAnsi="Arial" w:cs="Arial"/>
            <w:noProof/>
            <w:sz w:val="22"/>
            <w:szCs w:val="22"/>
          </w:rPr>
          <w:t>. Estado de Situación Financiera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_Toc229395876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53</w:t>
        </w:r>
        <w:r w:rsidR="008053AF" w:rsidRPr="008053AF">
          <w:rPr>
            <w:rFonts w:ascii="Arial" w:hAnsi="Arial" w:cs="Arial"/>
            <w:noProof/>
            <w:webHidden/>
            <w:sz w:val="22"/>
            <w:szCs w:val="22"/>
          </w:rPr>
          <w:fldChar w:fldCharType="end"/>
        </w:r>
      </w:hyperlink>
    </w:p>
    <w:p w14:paraId="65832AF5" w14:textId="22B9F3A7" w:rsidR="005413D2" w:rsidRPr="008053AF" w:rsidRDefault="008036C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087B68AB" w14:textId="5BD0D798" w:rsidR="00473177" w:rsidRDefault="006C6D3E" w:rsidP="00ED7184">
      <w:pPr>
        <w:pStyle w:val="Ttulo1"/>
        <w:spacing w:before="0" w:line="360" w:lineRule="auto"/>
        <w:jc w:val="center"/>
        <w:rPr>
          <w:rFonts w:ascii="Arial" w:eastAsia="Arial" w:hAnsi="Arial" w:cs="Arial"/>
          <w:b/>
          <w:bCs/>
          <w:color w:val="auto"/>
          <w:sz w:val="22"/>
          <w:szCs w:val="22"/>
        </w:rPr>
      </w:pPr>
      <w:bookmarkStart w:id="2" w:name="_Toc229397827"/>
      <w:r w:rsidRPr="008053AF">
        <w:rPr>
          <w:rFonts w:ascii="Arial" w:eastAsia="Arial" w:hAnsi="Arial" w:cs="Arial"/>
          <w:b/>
          <w:bCs/>
          <w:color w:val="auto"/>
          <w:sz w:val="22"/>
          <w:szCs w:val="22"/>
        </w:rPr>
        <w:t>ÍNDICE DE GRÁFICAS</w:t>
      </w:r>
      <w:bookmarkEnd w:id="2"/>
    </w:p>
    <w:p w14:paraId="1E1CECD6" w14:textId="77777777" w:rsidR="00ED7184" w:rsidRPr="00ED7184" w:rsidRDefault="00ED7184" w:rsidP="00ED7184"/>
    <w:p w14:paraId="23A6031D" w14:textId="0A83EA60" w:rsidR="008053AF" w:rsidRPr="008053AF" w:rsidRDefault="00A73AD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"Ilustración" </w:instrText>
      </w:r>
      <w:r w:rsidRPr="008053AF">
        <w:rPr>
          <w:rFonts w:ascii="Arial" w:hAnsi="Arial" w:cs="Arial"/>
          <w:b/>
          <w:bCs/>
          <w:sz w:val="22"/>
          <w:szCs w:val="22"/>
        </w:rPr>
        <w:fldChar w:fldCharType="separate"/>
      </w:r>
      <w:hyperlink w:anchor="_Toc229395919"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1</w:t>
        </w:r>
        <w:r w:rsidR="00E2542F">
          <w:rPr>
            <w:rStyle w:val="Hipervnculo"/>
            <w:rFonts w:ascii="Arial" w:hAnsi="Arial" w:cs="Arial"/>
            <w:noProof/>
            <w:sz w:val="22"/>
            <w:szCs w:val="22"/>
          </w:rPr>
          <w:t xml:space="preserve">: </w:t>
        </w:r>
        <w:r w:rsidR="008053AF" w:rsidRPr="008053AF">
          <w:rPr>
            <w:rStyle w:val="Hipervnculo"/>
            <w:rFonts w:ascii="Arial" w:eastAsia="Arial" w:hAnsi="Arial" w:cs="Arial"/>
            <w:noProof/>
            <w:sz w:val="22"/>
            <w:szCs w:val="22"/>
          </w:rPr>
          <w:t>Tendencia afiliados COOSALUD EPS por régimen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_Toc229395919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12</w:t>
        </w:r>
        <w:r w:rsidR="008053AF" w:rsidRPr="008053AF">
          <w:rPr>
            <w:rFonts w:ascii="Arial" w:hAnsi="Arial" w:cs="Arial"/>
            <w:noProof/>
            <w:webHidden/>
            <w:sz w:val="22"/>
            <w:szCs w:val="22"/>
          </w:rPr>
          <w:fldChar w:fldCharType="end"/>
        </w:r>
      </w:hyperlink>
    </w:p>
    <w:p w14:paraId="32D23705" w14:textId="03B0F31B"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0"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2: Afiliados por edad y género COOSALUD EPS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_Toc229395920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14</w:t>
        </w:r>
        <w:r w:rsidR="008053AF" w:rsidRPr="008053AF">
          <w:rPr>
            <w:rFonts w:ascii="Arial" w:hAnsi="Arial" w:cs="Arial"/>
            <w:noProof/>
            <w:webHidden/>
            <w:sz w:val="22"/>
            <w:szCs w:val="22"/>
          </w:rPr>
          <w:fldChar w:fldCharType="end"/>
        </w:r>
      </w:hyperlink>
    </w:p>
    <w:p w14:paraId="4595793B" w14:textId="4019D001"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1"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3. Tasa de reclamos en salud acumulados en 12 meses Coosalud EPS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_Toc229395921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20</w:t>
        </w:r>
        <w:r w:rsidR="008053AF" w:rsidRPr="008053AF">
          <w:rPr>
            <w:rFonts w:ascii="Arial" w:hAnsi="Arial" w:cs="Arial"/>
            <w:noProof/>
            <w:webHidden/>
            <w:sz w:val="22"/>
            <w:szCs w:val="22"/>
          </w:rPr>
          <w:fldChar w:fldCharType="end"/>
        </w:r>
      </w:hyperlink>
    </w:p>
    <w:p w14:paraId="1258B20A" w14:textId="72035125"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2"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4. Oportunidad de respuesta en días hábiles de enero a diciembre de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_Toc229395922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30</w:t>
        </w:r>
        <w:r w:rsidR="008053AF" w:rsidRPr="008053AF">
          <w:rPr>
            <w:rFonts w:ascii="Arial" w:hAnsi="Arial" w:cs="Arial"/>
            <w:noProof/>
            <w:webHidden/>
            <w:sz w:val="22"/>
            <w:szCs w:val="22"/>
          </w:rPr>
          <w:fldChar w:fldCharType="end"/>
        </w:r>
      </w:hyperlink>
    </w:p>
    <w:p w14:paraId="6FB2E8CB" w14:textId="136817AE"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3"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5. Total, de Activos – Pasivos (Cifras en millones de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_Toc229395923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55</w:t>
        </w:r>
        <w:r w:rsidR="008053AF" w:rsidRPr="008053AF">
          <w:rPr>
            <w:rFonts w:ascii="Arial" w:hAnsi="Arial" w:cs="Arial"/>
            <w:noProof/>
            <w:webHidden/>
            <w:sz w:val="22"/>
            <w:szCs w:val="22"/>
          </w:rPr>
          <w:fldChar w:fldCharType="end"/>
        </w:r>
      </w:hyperlink>
    </w:p>
    <w:p w14:paraId="3D99B8AB" w14:textId="7A5E7733"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4"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6. Cuentas por pagar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_Toc229395924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58</w:t>
        </w:r>
        <w:r w:rsidR="008053AF" w:rsidRPr="008053AF">
          <w:rPr>
            <w:rFonts w:ascii="Arial" w:hAnsi="Arial" w:cs="Arial"/>
            <w:noProof/>
            <w:webHidden/>
            <w:sz w:val="22"/>
            <w:szCs w:val="22"/>
          </w:rPr>
          <w:fldChar w:fldCharType="end"/>
        </w:r>
      </w:hyperlink>
    </w:p>
    <w:p w14:paraId="4D4E5AF3" w14:textId="1A6918E4"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5"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7: Reservas técnicas Coosalud EPS de 2021ª 2025</w:t>
        </w:r>
        <w:r w:rsidR="008053AF" w:rsidRPr="008053AF">
          <w:rPr>
            <w:rStyle w:val="Hipervnculo"/>
            <w:rFonts w:ascii="Arial" w:eastAsia="Arial" w:hAnsi="Arial" w:cs="Arial"/>
            <w:noProof/>
            <w:sz w:val="22"/>
            <w:szCs w:val="22"/>
          </w:rPr>
          <w:t>(cifras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_Toc229395925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62</w:t>
        </w:r>
        <w:r w:rsidR="008053AF" w:rsidRPr="008053AF">
          <w:rPr>
            <w:rFonts w:ascii="Arial" w:hAnsi="Arial" w:cs="Arial"/>
            <w:noProof/>
            <w:webHidden/>
            <w:sz w:val="22"/>
            <w:szCs w:val="22"/>
          </w:rPr>
          <w:fldChar w:fldCharType="end"/>
        </w:r>
      </w:hyperlink>
    </w:p>
    <w:p w14:paraId="52040C85" w14:textId="2D7F86CA"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6" w:history="1">
        <w:r w:rsidR="00E2542F">
          <w:rPr>
            <w:rStyle w:val="Hipervnculo"/>
            <w:rFonts w:ascii="Arial" w:hAnsi="Arial" w:cs="Arial"/>
            <w:noProof/>
            <w:sz w:val="22"/>
            <w:szCs w:val="22"/>
          </w:rPr>
          <w:t>Gráfica</w:t>
        </w:r>
        <w:r w:rsidR="008053AF" w:rsidRPr="008053AF">
          <w:rPr>
            <w:rStyle w:val="Hipervnculo"/>
            <w:rFonts w:ascii="Arial" w:hAnsi="Arial" w:cs="Arial"/>
            <w:noProof/>
            <w:sz w:val="22"/>
            <w:szCs w:val="22"/>
          </w:rPr>
          <w:t xml:space="preserve"> 8: Patrimonio Coosalud EPS de 2021 a 2025 (cifras en millones pesos colombianos)</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_Toc229395926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64</w:t>
        </w:r>
        <w:r w:rsidR="008053AF" w:rsidRPr="008053AF">
          <w:rPr>
            <w:rFonts w:ascii="Arial" w:hAnsi="Arial" w:cs="Arial"/>
            <w:noProof/>
            <w:webHidden/>
            <w:sz w:val="22"/>
            <w:szCs w:val="22"/>
          </w:rPr>
          <w:fldChar w:fldCharType="end"/>
        </w:r>
      </w:hyperlink>
    </w:p>
    <w:p w14:paraId="006127E8" w14:textId="202100EB"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7"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9</w:t>
        </w:r>
        <w:r w:rsidR="005568E5">
          <w:rPr>
            <w:rStyle w:val="Hipervnculo"/>
            <w:rFonts w:ascii="Arial" w:eastAsia="Arial" w:hAnsi="Arial" w:cs="Arial"/>
            <w:noProof/>
            <w:sz w:val="22"/>
            <w:szCs w:val="22"/>
          </w:rPr>
          <w:t xml:space="preserve">: </w:t>
        </w:r>
        <w:r w:rsidR="008053AF" w:rsidRPr="008053AF">
          <w:rPr>
            <w:rStyle w:val="Hipervnculo"/>
            <w:rFonts w:ascii="Arial" w:eastAsia="Arial" w:hAnsi="Arial" w:cs="Arial"/>
            <w:noProof/>
            <w:sz w:val="22"/>
            <w:szCs w:val="22"/>
          </w:rPr>
          <w:t>Porcentaje de Endeudamiento</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_Toc229395927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66</w:t>
        </w:r>
        <w:r w:rsidR="008053AF" w:rsidRPr="008053AF">
          <w:rPr>
            <w:rFonts w:ascii="Arial" w:hAnsi="Arial" w:cs="Arial"/>
            <w:noProof/>
            <w:webHidden/>
            <w:sz w:val="22"/>
            <w:szCs w:val="22"/>
          </w:rPr>
          <w:fldChar w:fldCharType="end"/>
        </w:r>
      </w:hyperlink>
    </w:p>
    <w:p w14:paraId="2A449DBD" w14:textId="33E062F7" w:rsidR="008053AF" w:rsidRPr="008053AF" w:rsidRDefault="00000000"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8" w:history="1">
        <w:r w:rsidR="00E2542F">
          <w:rPr>
            <w:rStyle w:val="Hipervnculo"/>
            <w:rFonts w:ascii="Arial" w:eastAsia="Arial" w:hAnsi="Arial" w:cs="Arial"/>
            <w:noProof/>
            <w:sz w:val="22"/>
            <w:szCs w:val="22"/>
          </w:rPr>
          <w:t>Gráfica</w:t>
        </w:r>
        <w:r w:rsidR="008053AF" w:rsidRPr="008053AF">
          <w:rPr>
            <w:rStyle w:val="Hipervnculo"/>
            <w:rFonts w:ascii="Arial" w:eastAsia="Arial" w:hAnsi="Arial" w:cs="Arial"/>
            <w:noProof/>
            <w:sz w:val="22"/>
            <w:szCs w:val="22"/>
          </w:rPr>
          <w:t xml:space="preserve"> 10</w:t>
        </w:r>
        <w:r w:rsidR="005568E5">
          <w:rPr>
            <w:rStyle w:val="Hipervnculo"/>
            <w:rFonts w:ascii="Arial" w:eastAsia="Arial" w:hAnsi="Arial" w:cs="Arial"/>
            <w:noProof/>
            <w:sz w:val="22"/>
            <w:szCs w:val="22"/>
          </w:rPr>
          <w:t>:</w:t>
        </w:r>
        <w:r w:rsidR="008053AF" w:rsidRPr="008053AF">
          <w:rPr>
            <w:rStyle w:val="Hipervnculo"/>
            <w:rFonts w:ascii="Arial" w:eastAsia="Arial" w:hAnsi="Arial" w:cs="Arial"/>
            <w:noProof/>
            <w:sz w:val="22"/>
            <w:szCs w:val="22"/>
          </w:rPr>
          <w:t xml:space="preserve"> Siniestralidad, COOSALUD EPS (ene-dic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_Toc229395928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68</w:t>
        </w:r>
        <w:r w:rsidR="008053AF" w:rsidRPr="008053AF">
          <w:rPr>
            <w:rFonts w:ascii="Arial" w:hAnsi="Arial" w:cs="Arial"/>
            <w:noProof/>
            <w:webHidden/>
            <w:sz w:val="22"/>
            <w:szCs w:val="22"/>
          </w:rPr>
          <w:fldChar w:fldCharType="end"/>
        </w:r>
      </w:hyperlink>
    </w:p>
    <w:p w14:paraId="29BD6E59" w14:textId="256426D1" w:rsidR="00ED4D68" w:rsidRPr="008053AF" w:rsidRDefault="00A73AD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64612C5F" w14:textId="77777777" w:rsidR="0001359C" w:rsidRDefault="0001359C" w:rsidP="00ED7184">
      <w:pPr>
        <w:spacing w:line="360" w:lineRule="auto"/>
        <w:jc w:val="both"/>
        <w:rPr>
          <w:rFonts w:ascii="Arial" w:hAnsi="Arial" w:cs="Arial"/>
          <w:b/>
          <w:bCs/>
          <w:sz w:val="22"/>
          <w:szCs w:val="22"/>
        </w:rPr>
      </w:pPr>
    </w:p>
    <w:p w14:paraId="654A5089" w14:textId="77777777" w:rsidR="001B465B" w:rsidRDefault="001B465B" w:rsidP="00ED7184">
      <w:pPr>
        <w:spacing w:line="360" w:lineRule="auto"/>
        <w:jc w:val="both"/>
        <w:rPr>
          <w:rFonts w:ascii="Arial" w:hAnsi="Arial" w:cs="Arial"/>
          <w:b/>
          <w:bCs/>
          <w:sz w:val="22"/>
          <w:szCs w:val="22"/>
        </w:rPr>
      </w:pPr>
    </w:p>
    <w:p w14:paraId="3325A34F" w14:textId="77777777" w:rsidR="009F6638" w:rsidRDefault="009F6638" w:rsidP="00ED7184">
      <w:pPr>
        <w:spacing w:line="360" w:lineRule="auto"/>
        <w:jc w:val="both"/>
        <w:rPr>
          <w:rFonts w:ascii="Arial" w:hAnsi="Arial" w:cs="Arial"/>
          <w:b/>
          <w:bCs/>
          <w:sz w:val="22"/>
          <w:szCs w:val="22"/>
        </w:rPr>
      </w:pPr>
    </w:p>
    <w:p w14:paraId="2A6E3E35" w14:textId="77777777" w:rsidR="009F6638" w:rsidRDefault="009F6638" w:rsidP="00ED7184">
      <w:pPr>
        <w:spacing w:line="360" w:lineRule="auto"/>
        <w:jc w:val="both"/>
        <w:rPr>
          <w:rFonts w:ascii="Arial" w:hAnsi="Arial" w:cs="Arial"/>
          <w:b/>
          <w:bCs/>
          <w:sz w:val="22"/>
          <w:szCs w:val="22"/>
        </w:rPr>
      </w:pPr>
    </w:p>
    <w:p w14:paraId="65D85B4A" w14:textId="77777777" w:rsidR="001B465B" w:rsidRPr="008053AF" w:rsidRDefault="001B465B" w:rsidP="00ED7184">
      <w:pPr>
        <w:spacing w:line="360" w:lineRule="auto"/>
        <w:jc w:val="both"/>
        <w:rPr>
          <w:rFonts w:ascii="Arial" w:hAnsi="Arial" w:cs="Arial"/>
          <w:b/>
          <w:bCs/>
          <w:sz w:val="22"/>
          <w:szCs w:val="22"/>
        </w:rPr>
      </w:pPr>
    </w:p>
    <w:p w14:paraId="5DA059F9" w14:textId="77777777" w:rsidR="0001359C" w:rsidRPr="008053AF" w:rsidRDefault="0001359C" w:rsidP="00ED7184">
      <w:pPr>
        <w:spacing w:line="360" w:lineRule="auto"/>
        <w:jc w:val="both"/>
        <w:rPr>
          <w:rFonts w:ascii="Arial" w:hAnsi="Arial" w:cs="Arial"/>
          <w:b/>
          <w:bCs/>
          <w:sz w:val="22"/>
          <w:szCs w:val="22"/>
        </w:rPr>
      </w:pPr>
    </w:p>
    <w:p w14:paraId="1F5678FD"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3" w:name="_Toc229397828"/>
      <w:r w:rsidRPr="006068A2">
        <w:rPr>
          <w:rFonts w:ascii="Arial" w:eastAsia="Arial" w:hAnsi="Arial" w:cs="Arial"/>
          <w:b/>
          <w:bCs/>
          <w:color w:val="auto"/>
          <w:sz w:val="22"/>
          <w:szCs w:val="22"/>
        </w:rPr>
        <w:t>INTRODUCCIÓN</w:t>
      </w:r>
      <w:bookmarkEnd w:id="3"/>
    </w:p>
    <w:p w14:paraId="536C3C5A" w14:textId="77777777" w:rsidR="005D62BA" w:rsidRPr="006068A2" w:rsidRDefault="005D62BA" w:rsidP="005D62BA">
      <w:pPr>
        <w:spacing w:line="360" w:lineRule="auto"/>
        <w:jc w:val="both"/>
        <w:rPr>
          <w:rFonts w:ascii="Arial" w:eastAsia="Arial" w:hAnsi="Arial" w:cs="Arial"/>
          <w:sz w:val="22"/>
          <w:szCs w:val="22"/>
        </w:rPr>
      </w:pPr>
    </w:p>
    <w:p w14:paraId="7A543C9B"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toma de decisiones estratégicas en el sector salud exige información objetiva, verificable y analizada de manera integral, particularmente en el marco del Sistema General de Seguridad Social en Salud. En este contexto, las Entidades Territoriales tienen la responsabilidad de dirigir, coordinar y ejercer funciones de inspección, vigilancia y seguimiento sobre el adecuado funcionamiento de las Entidades Promotoras de Salud (EPS), con el propósito de salvaguardar el derecho a la salud de la población afiliada y velar por la correcta gestión de los recursos del sistema.</w:t>
      </w:r>
    </w:p>
    <w:p w14:paraId="0CA60670" w14:textId="77777777" w:rsidR="005D62BA" w:rsidRPr="006068A2" w:rsidRDefault="005D62BA" w:rsidP="005D62BA">
      <w:pPr>
        <w:spacing w:line="360" w:lineRule="auto"/>
        <w:jc w:val="both"/>
        <w:rPr>
          <w:rFonts w:ascii="Arial" w:eastAsia="Arial" w:hAnsi="Arial" w:cs="Arial"/>
          <w:sz w:val="22"/>
          <w:szCs w:val="22"/>
          <w:lang w:val="es-ES"/>
        </w:rPr>
      </w:pPr>
    </w:p>
    <w:p w14:paraId="5851C18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Bajo esta perspectiva, el presente análisis técnico, sustentado en evidencia, constituye una herramienta fundamental para orientar decisiones dirigidas a garantizar la oportunidad y continuidad de la atención, fortalecer la gestión del riesgo en salud y promover el uso eficiente de los recursos disponibles. La adopción de decisiones con base en criterios objetivos fortalece la capacidad de la Entidad Territorial para priorizar acciones de inspección, vigilancia y seguimiento, identificar alertas tempranas y mitigar riesgos que puedan comprometer la prestación de servicios a la población afiliada.</w:t>
      </w:r>
    </w:p>
    <w:p w14:paraId="537AB694" w14:textId="77777777" w:rsidR="005D62BA" w:rsidRPr="006068A2" w:rsidRDefault="005D62BA" w:rsidP="005D62BA">
      <w:pPr>
        <w:spacing w:line="360" w:lineRule="auto"/>
        <w:jc w:val="both"/>
        <w:rPr>
          <w:rFonts w:ascii="Arial" w:eastAsia="Arial" w:hAnsi="Arial" w:cs="Arial"/>
          <w:sz w:val="22"/>
          <w:szCs w:val="22"/>
          <w:lang w:val="es-ES"/>
        </w:rPr>
      </w:pPr>
    </w:p>
    <w:p w14:paraId="25BB37B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De igual forma, la evaluación de la operación de una EPS en Bogotá, D. C., debe incorporar un enfoque territorial que reconozca que el desempeño del aseguramiento incide directamente en las condiciones de salud de la población y en la capacidad de respuesta frente a las dinámicas propias del Distrito. En una ciudad caracterizada por alta densidad poblacional, marcada heterogeneidad socioeconómica y variaciones en los perfiles de riesgo entre localidades, las fallas en el acceso, la continuidad de los tratamientos o la oportunidad en la atención no solo generan afectaciones individuales, sino que también pueden traducirse en agravamiento de enfermedades crónicas, incremento de complicaciones evitables, mayor presión sobre los servicios de urgencias y hospitalización, y profundización de las inequidades en salud. En este sentido, el seguimiento a la gestión de EPS COOSALUD trasciende el control institucional y se configura como un insumo </w:t>
      </w:r>
      <w:r w:rsidRPr="006068A2">
        <w:rPr>
          <w:rFonts w:ascii="Arial" w:eastAsia="Arial" w:hAnsi="Arial" w:cs="Arial"/>
          <w:sz w:val="22"/>
          <w:szCs w:val="22"/>
          <w:lang w:val="es-ES"/>
        </w:rPr>
        <w:lastRenderedPageBreak/>
        <w:t>estratégico para orientar acciones encaminadas a proteger la salud colectiva y reducir riesgos sanitarios en el territorio.</w:t>
      </w:r>
    </w:p>
    <w:p w14:paraId="1A561DB0" w14:textId="77777777" w:rsidR="005D62BA" w:rsidRPr="006068A2" w:rsidRDefault="005D62BA" w:rsidP="005D62BA">
      <w:pPr>
        <w:spacing w:line="360" w:lineRule="auto"/>
        <w:jc w:val="both"/>
        <w:rPr>
          <w:rFonts w:ascii="Arial" w:eastAsia="Arial" w:hAnsi="Arial" w:cs="Arial"/>
          <w:sz w:val="22"/>
          <w:szCs w:val="22"/>
          <w:lang w:val="es-ES"/>
        </w:rPr>
      </w:pPr>
    </w:p>
    <w:p w14:paraId="74BD9C1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El presente informe tiene como propósito evaluar la operación de la EPS COOSALUD en Bogotá, D. C., a partir de un análisis integral de sus principales componentes de desempeño. Para ello, se incluye la caracterización de la población afiliada y de sus necesidades en salud; la evaluación de la gestión del riesgo; y el análisis del acceso efectivo a los servicios, con énfasis en la oportunidad, la continuidad y la resolutividad de la atención. Asimismo, se incorporan las PQRSD ciudadanas como una fuente clave para identificar barreras de acceso y tendencias relacionadas con la experiencia de los usuarios. Finalmente, se examina la situación financiera de la EPS, en relación con la administración y destinación de los recursos asignados y su incidencia en la capacidad institucional para garantizar la prestación de los servicios de salud.</w:t>
      </w:r>
    </w:p>
    <w:p w14:paraId="291AE0B3" w14:textId="77777777" w:rsidR="005D62BA" w:rsidRPr="006068A2" w:rsidRDefault="005D62BA" w:rsidP="005D62BA">
      <w:pPr>
        <w:spacing w:line="360" w:lineRule="auto"/>
        <w:jc w:val="both"/>
        <w:rPr>
          <w:rFonts w:ascii="Arial" w:eastAsia="Arial" w:hAnsi="Arial" w:cs="Arial"/>
          <w:sz w:val="22"/>
          <w:szCs w:val="22"/>
          <w:lang w:val="es-ES"/>
        </w:rPr>
      </w:pPr>
    </w:p>
    <w:p w14:paraId="072AF6B1"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consecuencia, este informe se sustenta en el análisis de la información suministrada por EPS COOSALUD, complementada con las auditorías realizadas por el equipo de Inspección, Vigilancia y Seguimiento (IVS), así como con la revisión de reportes, alertas e indicadores publicados por la Superintendencia Nacional de Salud y otras fuentes oficiales. La triangulación de estas evidencias permite consolidar hallazgos con soporte técnico, identificar brechas y riesgos relevantes, y aportar un insumo sólido para la Secretaría Distrital de Salud, orientado a la toma de decisiones, el seguimiento de la operación y la definición de acciones de mejora, con énfasis en la protección de la salud de la población residente y afiliada en Bogotá, D. C.</w:t>
      </w:r>
    </w:p>
    <w:p w14:paraId="1646989B" w14:textId="77777777" w:rsidR="005D62BA" w:rsidRPr="006068A2" w:rsidRDefault="005D62BA" w:rsidP="005D62BA">
      <w:pPr>
        <w:spacing w:line="360" w:lineRule="auto"/>
        <w:jc w:val="both"/>
        <w:rPr>
          <w:rFonts w:ascii="Arial" w:eastAsia="Arial" w:hAnsi="Arial" w:cs="Arial"/>
          <w:sz w:val="22"/>
          <w:szCs w:val="22"/>
          <w:lang w:val="es-ES"/>
        </w:rPr>
      </w:pPr>
    </w:p>
    <w:p w14:paraId="2D591D8B" w14:textId="208703DB" w:rsidR="005D62BA" w:rsidRPr="006068A2" w:rsidRDefault="005D62BA" w:rsidP="00601818">
      <w:pPr>
        <w:pStyle w:val="Ttulo1"/>
        <w:numPr>
          <w:ilvl w:val="0"/>
          <w:numId w:val="9"/>
        </w:numPr>
        <w:spacing w:before="0" w:line="360" w:lineRule="auto"/>
        <w:jc w:val="both"/>
        <w:rPr>
          <w:rFonts w:ascii="Arial" w:eastAsia="Arial" w:hAnsi="Arial" w:cs="Arial"/>
          <w:b/>
          <w:bCs/>
          <w:color w:val="auto"/>
          <w:sz w:val="22"/>
          <w:szCs w:val="22"/>
        </w:rPr>
      </w:pPr>
      <w:bookmarkStart w:id="4" w:name="_Toc229397829"/>
      <w:r w:rsidRPr="006068A2">
        <w:rPr>
          <w:rFonts w:ascii="Arial" w:eastAsia="Arial" w:hAnsi="Arial" w:cs="Arial"/>
          <w:b/>
          <w:bCs/>
          <w:color w:val="auto"/>
          <w:sz w:val="22"/>
          <w:szCs w:val="22"/>
        </w:rPr>
        <w:t>ANTECEDENTES</w:t>
      </w:r>
      <w:bookmarkEnd w:id="4"/>
      <w:r w:rsidRPr="006068A2">
        <w:rPr>
          <w:rFonts w:ascii="Arial" w:eastAsia="Arial" w:hAnsi="Arial" w:cs="Arial"/>
          <w:b/>
          <w:bCs/>
          <w:color w:val="auto"/>
          <w:sz w:val="22"/>
          <w:szCs w:val="22"/>
        </w:rPr>
        <w:t xml:space="preserve"> </w:t>
      </w:r>
    </w:p>
    <w:p w14:paraId="4ECF2FEB" w14:textId="77777777" w:rsidR="005D62BA" w:rsidRPr="006068A2" w:rsidRDefault="005D62BA" w:rsidP="005D62BA">
      <w:pPr>
        <w:spacing w:line="360" w:lineRule="auto"/>
        <w:jc w:val="both"/>
        <w:rPr>
          <w:rFonts w:ascii="Arial" w:eastAsia="Arial" w:hAnsi="Arial" w:cs="Arial"/>
          <w:sz w:val="22"/>
          <w:szCs w:val="22"/>
        </w:rPr>
      </w:pPr>
    </w:p>
    <w:p w14:paraId="7D6E1CB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Secretaría Distrital de Salud, contempla dentro de su misión garantizar el derecho a la salud a través de un modelo de atención integral incluyente, lo que implica crear las condiciones de acceso de la población a los servicios de salud, como un servicio público a cargo del Estado; por lo anterior, en ejercicio de su función rectora, la Secretaría Distrital de Salud debe velar por el estricto cumplimiento de las obligaciones de las aseguradoras en salud autorizadas a operar en el Distrito Capital.</w:t>
      </w:r>
    </w:p>
    <w:p w14:paraId="04508A3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20D37C5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La Ley 715 de 2001, otorga a la Secretaría Distrital de Salud la competencia para coordinar, supervisar, programar, sugerir, ejecutar y desarrollar actividades relacionadas con el Sector Salud, así como vigilar el cumplimiento de las políticas y normas técnicas, científicas y administrativas que expida el Ministerio de Salud y Protección Social, para garantizar el logro de las metas del sector y del Sistema General de Seguridad Social en Salud, sin perjuicio de las funciones de inspección y vigilancia atribuidas a las demás autoridades competentes.</w:t>
      </w:r>
    </w:p>
    <w:p w14:paraId="6C568C1E"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4F4A4BA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1122 de 2007 a su vez, establece, en su artículo 14, las funciones indelegables de las Empresas Promotoras de Salud: La gestión del riesgo en salud, la gestión del riesgo financiero, la articulación de servicios para la población afiliada, la garantía de la calidad en la prestación de los servicios y la representación del usuario ante otros actores sin detrimento de su autonomía.</w:t>
      </w:r>
    </w:p>
    <w:p w14:paraId="7045A0D5" w14:textId="77777777" w:rsidR="005D62BA" w:rsidRPr="006068A2" w:rsidRDefault="005D62BA" w:rsidP="005D62BA">
      <w:pPr>
        <w:spacing w:line="360" w:lineRule="auto"/>
        <w:jc w:val="both"/>
        <w:rPr>
          <w:rFonts w:ascii="Arial" w:eastAsia="Arial" w:hAnsi="Arial" w:cs="Arial"/>
          <w:sz w:val="22"/>
          <w:szCs w:val="22"/>
          <w:lang w:val="es-ES"/>
        </w:rPr>
      </w:pPr>
    </w:p>
    <w:p w14:paraId="3A37F0AF"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1438 de 2011 otorga funciones a las Direcciones Territoriales de Salud, tales como el aseguramiento, la inspección, vigilancia y garantía de la prestación de servicios de salud y demás relacionadas.</w:t>
      </w:r>
    </w:p>
    <w:p w14:paraId="0F19333B" w14:textId="77777777" w:rsidR="005D62BA" w:rsidRPr="006068A2" w:rsidRDefault="005D62BA" w:rsidP="005D62BA">
      <w:pPr>
        <w:spacing w:line="360" w:lineRule="auto"/>
        <w:jc w:val="both"/>
        <w:rPr>
          <w:rFonts w:ascii="Arial" w:eastAsia="Arial" w:hAnsi="Arial" w:cs="Arial"/>
          <w:sz w:val="22"/>
          <w:szCs w:val="22"/>
          <w:lang w:val="es"/>
        </w:rPr>
      </w:pPr>
      <w:r w:rsidRPr="006068A2">
        <w:rPr>
          <w:rFonts w:ascii="Arial" w:eastAsia="Arial" w:hAnsi="Arial" w:cs="Arial"/>
          <w:sz w:val="22"/>
          <w:szCs w:val="22"/>
          <w:lang w:val="es"/>
        </w:rPr>
        <w:t xml:space="preserve"> </w:t>
      </w:r>
    </w:p>
    <w:p w14:paraId="54CF271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Por lo anterior, se hace necesario adelantar acciones de Inspección, Vigilancia y Seguimiento</w:t>
      </w:r>
      <w:r w:rsidRPr="006068A2">
        <w:rPr>
          <w:rStyle w:val="Refdenotaalpie"/>
          <w:rFonts w:ascii="Arial" w:eastAsia="Arial" w:hAnsi="Arial" w:cs="Arial"/>
          <w:sz w:val="22"/>
          <w:szCs w:val="22"/>
          <w:lang w:val="es-ES"/>
        </w:rPr>
        <w:footnoteReference w:id="1"/>
      </w:r>
      <w:r w:rsidRPr="006068A2">
        <w:rPr>
          <w:rFonts w:ascii="Arial" w:eastAsia="Arial" w:hAnsi="Arial" w:cs="Arial"/>
          <w:sz w:val="22"/>
          <w:szCs w:val="22"/>
          <w:lang w:val="es-ES"/>
        </w:rPr>
        <w:t xml:space="preserve"> (IVS) a la operación de las diferentes Empresas Administradoras de Planes de Beneficios (EAPB), orientadas a verificar el cumplimiento de las obligaciones que estas tienen frente a sus afiliados, en el marco de la normatividad vigente. Estas acciones buscan identificar oportunamente riesgos operativos, barreras de acceso, fallas en la oportunidad y continuidad de la atención, así como posibles desviaciones en la gestión del riesgo en salud y en la administración de los recursos, con el fin de proteger el derecho fundamental a la salud y fortalecer el aseguramiento.</w:t>
      </w:r>
    </w:p>
    <w:p w14:paraId="2A1C64B8" w14:textId="77777777" w:rsidR="005D62BA" w:rsidRPr="006068A2" w:rsidRDefault="005D62BA" w:rsidP="005D62BA">
      <w:pPr>
        <w:spacing w:line="360" w:lineRule="auto"/>
        <w:jc w:val="both"/>
        <w:rPr>
          <w:rFonts w:ascii="Arial" w:eastAsia="Arial" w:hAnsi="Arial" w:cs="Arial"/>
          <w:sz w:val="22"/>
          <w:szCs w:val="22"/>
          <w:lang w:val="es-ES"/>
        </w:rPr>
      </w:pPr>
    </w:p>
    <w:p w14:paraId="1E50B0E0" w14:textId="77777777" w:rsidR="005D62BA" w:rsidRPr="006068A2" w:rsidRDefault="005D62BA" w:rsidP="005D62BA">
      <w:pPr>
        <w:pStyle w:val="Ttulo2"/>
        <w:numPr>
          <w:ilvl w:val="1"/>
          <w:numId w:val="9"/>
        </w:numPr>
        <w:spacing w:before="0" w:line="360" w:lineRule="auto"/>
        <w:jc w:val="both"/>
        <w:rPr>
          <w:rFonts w:ascii="Arial" w:eastAsia="Arial" w:hAnsi="Arial" w:cs="Arial"/>
          <w:b/>
          <w:bCs/>
          <w:color w:val="auto"/>
          <w:sz w:val="22"/>
          <w:szCs w:val="22"/>
        </w:rPr>
      </w:pPr>
      <w:bookmarkStart w:id="5" w:name="_Toc229397830"/>
      <w:r w:rsidRPr="006068A2">
        <w:rPr>
          <w:rFonts w:ascii="Arial" w:eastAsia="Arial" w:hAnsi="Arial" w:cs="Arial"/>
          <w:b/>
          <w:bCs/>
          <w:color w:val="auto"/>
          <w:sz w:val="22"/>
          <w:szCs w:val="22"/>
        </w:rPr>
        <w:lastRenderedPageBreak/>
        <w:t>Contexto del aseguramiento en Bogotá</w:t>
      </w:r>
      <w:bookmarkEnd w:id="5"/>
      <w:r w:rsidRPr="006068A2">
        <w:rPr>
          <w:rFonts w:ascii="Arial" w:eastAsia="Arial" w:hAnsi="Arial" w:cs="Arial"/>
          <w:b/>
          <w:bCs/>
          <w:color w:val="auto"/>
          <w:sz w:val="22"/>
          <w:szCs w:val="22"/>
        </w:rPr>
        <w:t xml:space="preserve"> </w:t>
      </w:r>
    </w:p>
    <w:p w14:paraId="189E4689" w14:textId="77777777" w:rsidR="005D62BA" w:rsidRPr="006068A2" w:rsidRDefault="005D62BA" w:rsidP="005D62BA">
      <w:pPr>
        <w:spacing w:line="360" w:lineRule="auto"/>
        <w:jc w:val="both"/>
        <w:rPr>
          <w:rFonts w:ascii="Arial" w:eastAsia="Arial" w:hAnsi="Arial" w:cs="Arial"/>
          <w:sz w:val="22"/>
          <w:szCs w:val="22"/>
          <w:lang w:val="es-ES"/>
        </w:rPr>
      </w:pPr>
    </w:p>
    <w:p w14:paraId="0B04C25A" w14:textId="429D06EE" w:rsidR="005D62BA" w:rsidRPr="006068A2" w:rsidRDefault="005D62BA" w:rsidP="00640F84">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Para el año 2025, con corte a 31 de diciembre</w:t>
      </w:r>
      <w:r w:rsidRPr="006068A2">
        <w:rPr>
          <w:rStyle w:val="Refdenotaalpie"/>
          <w:rFonts w:ascii="Arial" w:eastAsia="Arial" w:hAnsi="Arial" w:cs="Arial"/>
          <w:sz w:val="22"/>
          <w:szCs w:val="22"/>
          <w:lang w:val="es-ES"/>
        </w:rPr>
        <w:footnoteReference w:id="2"/>
      </w:r>
      <w:r w:rsidRPr="006068A2">
        <w:rPr>
          <w:rFonts w:ascii="Arial" w:eastAsia="Arial" w:hAnsi="Arial" w:cs="Arial"/>
          <w:sz w:val="22"/>
          <w:szCs w:val="22"/>
          <w:lang w:val="es-ES"/>
        </w:rPr>
        <w:t xml:space="preserve"> y de acuerdo con la BDUA, Bogotá registra un total de 8.021.580 afiliados al Sistema General de Seguridad Social en Salud, cifra que supera la proyección poblacional del DANE estimada en 7.937.898 habitantes, lo que corresponde a una cobertura del 10</w:t>
      </w:r>
      <w:r>
        <w:rPr>
          <w:rFonts w:ascii="Arial" w:eastAsia="Arial" w:hAnsi="Arial" w:cs="Arial"/>
          <w:sz w:val="22"/>
          <w:szCs w:val="22"/>
          <w:lang w:val="es-ES"/>
        </w:rPr>
        <w:t>0</w:t>
      </w:r>
      <w:r w:rsidR="00315623">
        <w:rPr>
          <w:rFonts w:ascii="Arial" w:eastAsia="Arial" w:hAnsi="Arial" w:cs="Arial"/>
          <w:sz w:val="22"/>
          <w:szCs w:val="22"/>
          <w:lang w:val="es-ES"/>
        </w:rPr>
        <w:t xml:space="preserve"> </w:t>
      </w:r>
      <w:r w:rsidRPr="006068A2">
        <w:rPr>
          <w:rFonts w:ascii="Arial" w:eastAsia="Arial" w:hAnsi="Arial" w:cs="Arial"/>
          <w:sz w:val="22"/>
          <w:szCs w:val="22"/>
          <w:lang w:val="es-ES"/>
        </w:rPr>
        <w:t>%. Este comportamiento es consistente con la dinámica del sistema, asociada a procesos de afiliaciones múltiples, fenómenos migratorios y ejercicios de depuración administrativa.</w:t>
      </w:r>
    </w:p>
    <w:p w14:paraId="50A09C3C" w14:textId="77777777" w:rsidR="005D62BA" w:rsidRPr="006068A2" w:rsidRDefault="005D62BA" w:rsidP="005D62BA">
      <w:pPr>
        <w:spacing w:line="360" w:lineRule="auto"/>
        <w:ind w:firstLine="709"/>
        <w:jc w:val="both"/>
        <w:rPr>
          <w:rFonts w:ascii="Arial" w:eastAsia="Arial" w:hAnsi="Arial" w:cs="Arial"/>
          <w:sz w:val="22"/>
          <w:szCs w:val="22"/>
          <w:lang w:val="es-ES"/>
        </w:rPr>
      </w:pPr>
    </w:p>
    <w:p w14:paraId="5B14A8BE" w14:textId="27370AD1" w:rsidR="005D62BA" w:rsidRPr="008F4BE8" w:rsidRDefault="005D62BA" w:rsidP="005D62BA">
      <w:pPr>
        <w:spacing w:line="360" w:lineRule="auto"/>
        <w:jc w:val="both"/>
        <w:rPr>
          <w:rFonts w:ascii="Arial" w:eastAsia="Arial" w:hAnsi="Arial" w:cs="Arial"/>
          <w:sz w:val="22"/>
          <w:szCs w:val="22"/>
        </w:rPr>
      </w:pPr>
      <w:r w:rsidRPr="006068A2">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w:t>
      </w:r>
      <w:r w:rsidR="008F4BE8">
        <w:rPr>
          <w:rFonts w:ascii="Arial" w:eastAsia="Arial" w:hAnsi="Arial" w:cs="Arial"/>
          <w:sz w:val="22"/>
          <w:szCs w:val="22"/>
        </w:rPr>
        <w:t xml:space="preserve"> </w:t>
      </w:r>
      <w:r w:rsidRPr="006068A2">
        <w:rPr>
          <w:rFonts w:ascii="Arial" w:eastAsia="Arial" w:hAnsi="Arial" w:cs="Arial"/>
          <w:sz w:val="22"/>
          <w:szCs w:val="22"/>
          <w:lang w:val="es-ES"/>
        </w:rPr>
        <w:t>En la tabla 1, se relaciona el estado del aseguramiento en salud de la población de Bogotá para el 2025.</w:t>
      </w:r>
    </w:p>
    <w:p w14:paraId="429A7623" w14:textId="77777777" w:rsidR="005D62BA" w:rsidRPr="006068A2" w:rsidRDefault="005D62BA" w:rsidP="005D62BA">
      <w:pPr>
        <w:spacing w:line="360" w:lineRule="auto"/>
        <w:jc w:val="both"/>
        <w:rPr>
          <w:rFonts w:ascii="Arial" w:eastAsia="Arial" w:hAnsi="Arial" w:cs="Arial"/>
          <w:sz w:val="22"/>
          <w:szCs w:val="22"/>
          <w:lang w:val="es-ES"/>
        </w:rPr>
      </w:pPr>
    </w:p>
    <w:p w14:paraId="3AB2F2E2" w14:textId="3FF8FD0E" w:rsidR="005D62BA" w:rsidRPr="006068A2" w:rsidRDefault="005D62BA" w:rsidP="00C733C0">
      <w:pPr>
        <w:pStyle w:val="Descripcin"/>
        <w:keepNext/>
        <w:spacing w:after="0" w:line="360" w:lineRule="auto"/>
        <w:jc w:val="both"/>
        <w:rPr>
          <w:rFonts w:ascii="Arial" w:eastAsia="Arial" w:hAnsi="Arial" w:cs="Arial"/>
          <w:i w:val="0"/>
          <w:iCs w:val="0"/>
          <w:color w:val="000000" w:themeColor="text1"/>
          <w:sz w:val="22"/>
          <w:szCs w:val="22"/>
          <w:lang w:val="es"/>
        </w:rPr>
      </w:pPr>
      <w:bookmarkStart w:id="6" w:name="_Toc229395858"/>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1</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Estado del aseguramiento población de Bogotá, 2025</w:t>
      </w:r>
      <w:bookmarkEnd w:id="6"/>
    </w:p>
    <w:p w14:paraId="7E1C9D97" w14:textId="77777777" w:rsidR="005D62BA" w:rsidRPr="006068A2" w:rsidRDefault="005D62BA" w:rsidP="005D62BA">
      <w:pPr>
        <w:spacing w:line="360" w:lineRule="auto"/>
        <w:rPr>
          <w:rFonts w:ascii="Arial" w:eastAsia="Arial" w:hAnsi="Arial" w:cs="Arial"/>
          <w:sz w:val="22"/>
          <w:szCs w:val="22"/>
          <w:lang w:val="es"/>
        </w:rPr>
      </w:pPr>
    </w:p>
    <w:tbl>
      <w:tblPr>
        <w:tblStyle w:val="Tablaconcuadrcula"/>
        <w:tblW w:w="8864" w:type="dxa"/>
        <w:tblLook w:val="04A0" w:firstRow="1" w:lastRow="0" w:firstColumn="1" w:lastColumn="0" w:noHBand="0" w:noVBand="1"/>
      </w:tblPr>
      <w:tblGrid>
        <w:gridCol w:w="4050"/>
        <w:gridCol w:w="1774"/>
        <w:gridCol w:w="3040"/>
      </w:tblGrid>
      <w:tr w:rsidR="005D62BA" w:rsidRPr="006068A2" w14:paraId="690BB00C" w14:textId="77777777" w:rsidTr="00D7014B">
        <w:trPr>
          <w:trHeight w:val="621"/>
          <w:tblHeader/>
        </w:trPr>
        <w:tc>
          <w:tcPr>
            <w:tcW w:w="4050" w:type="dxa"/>
            <w:noWrap/>
            <w:vAlign w:val="center"/>
            <w:hideMark/>
          </w:tcPr>
          <w:p w14:paraId="2AD6B3BA"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Afiliados por Régimen</w:t>
            </w:r>
          </w:p>
        </w:tc>
        <w:tc>
          <w:tcPr>
            <w:tcW w:w="1774" w:type="dxa"/>
            <w:noWrap/>
            <w:vAlign w:val="center"/>
            <w:hideMark/>
          </w:tcPr>
          <w:p w14:paraId="09B9A271"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Cantidad</w:t>
            </w:r>
          </w:p>
        </w:tc>
        <w:tc>
          <w:tcPr>
            <w:tcW w:w="3040" w:type="dxa"/>
            <w:vAlign w:val="center"/>
            <w:hideMark/>
          </w:tcPr>
          <w:p w14:paraId="3199818C" w14:textId="3FC160FD"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xml:space="preserve">% de Población </w:t>
            </w:r>
            <w:r>
              <w:rPr>
                <w:rFonts w:ascii="Arial" w:hAnsi="Arial" w:cs="Arial"/>
                <w:b/>
                <w:bCs/>
                <w:kern w:val="0"/>
                <w:sz w:val="22"/>
                <w:szCs w:val="22"/>
                <w:lang w:eastAsia="es-CO"/>
                <w14:ligatures w14:val="none"/>
              </w:rPr>
              <w:t>del Total de afiliados</w:t>
            </w:r>
          </w:p>
        </w:tc>
      </w:tr>
      <w:tr w:rsidR="005D62BA" w:rsidRPr="006068A2" w14:paraId="5D6CF037" w14:textId="77777777" w:rsidTr="00D7014B">
        <w:trPr>
          <w:trHeight w:val="223"/>
        </w:trPr>
        <w:tc>
          <w:tcPr>
            <w:tcW w:w="4050" w:type="dxa"/>
            <w:noWrap/>
            <w:hideMark/>
          </w:tcPr>
          <w:p w14:paraId="006DB48C"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Contributivo</w:t>
            </w:r>
          </w:p>
        </w:tc>
        <w:tc>
          <w:tcPr>
            <w:tcW w:w="1774" w:type="dxa"/>
            <w:noWrap/>
          </w:tcPr>
          <w:p w14:paraId="0BB41FD3"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6.026.881</w:t>
            </w:r>
          </w:p>
        </w:tc>
        <w:tc>
          <w:tcPr>
            <w:tcW w:w="3040" w:type="dxa"/>
            <w:noWrap/>
          </w:tcPr>
          <w:p w14:paraId="1835A7A4"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75,9%</w:t>
            </w:r>
          </w:p>
        </w:tc>
      </w:tr>
      <w:tr w:rsidR="005D62BA" w:rsidRPr="006068A2" w14:paraId="7AE1BCB7" w14:textId="77777777" w:rsidTr="00D7014B">
        <w:trPr>
          <w:trHeight w:val="138"/>
        </w:trPr>
        <w:tc>
          <w:tcPr>
            <w:tcW w:w="4050" w:type="dxa"/>
            <w:noWrap/>
            <w:hideMark/>
          </w:tcPr>
          <w:p w14:paraId="374867ED"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Subsidiado</w:t>
            </w:r>
          </w:p>
        </w:tc>
        <w:tc>
          <w:tcPr>
            <w:tcW w:w="1774" w:type="dxa"/>
            <w:noWrap/>
          </w:tcPr>
          <w:p w14:paraId="6FC7CD81"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1.744.899</w:t>
            </w:r>
          </w:p>
        </w:tc>
        <w:tc>
          <w:tcPr>
            <w:tcW w:w="3040" w:type="dxa"/>
            <w:noWrap/>
          </w:tcPr>
          <w:p w14:paraId="5F23C8F8"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22,0%</w:t>
            </w:r>
          </w:p>
        </w:tc>
      </w:tr>
      <w:tr w:rsidR="005D62BA" w:rsidRPr="006068A2" w14:paraId="45681C41" w14:textId="77777777" w:rsidTr="00D7014B">
        <w:trPr>
          <w:trHeight w:val="83"/>
        </w:trPr>
        <w:tc>
          <w:tcPr>
            <w:tcW w:w="4050" w:type="dxa"/>
            <w:noWrap/>
            <w:hideMark/>
          </w:tcPr>
          <w:p w14:paraId="4111A487"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Regímenes de Excepción (estimado)</w:t>
            </w:r>
          </w:p>
        </w:tc>
        <w:tc>
          <w:tcPr>
            <w:tcW w:w="1774" w:type="dxa"/>
            <w:noWrap/>
          </w:tcPr>
          <w:p w14:paraId="5CE1A62F"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249.800</w:t>
            </w:r>
          </w:p>
        </w:tc>
        <w:tc>
          <w:tcPr>
            <w:tcW w:w="3040" w:type="dxa"/>
            <w:noWrap/>
          </w:tcPr>
          <w:p w14:paraId="57B13C6E"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3,1%</w:t>
            </w:r>
          </w:p>
        </w:tc>
      </w:tr>
      <w:tr w:rsidR="005D62BA" w:rsidRPr="006068A2" w14:paraId="1D9320C2" w14:textId="77777777" w:rsidTr="00D7014B">
        <w:trPr>
          <w:trHeight w:val="72"/>
        </w:trPr>
        <w:tc>
          <w:tcPr>
            <w:tcW w:w="4050" w:type="dxa"/>
            <w:noWrap/>
            <w:hideMark/>
          </w:tcPr>
          <w:p w14:paraId="4610D0B7" w14:textId="77777777" w:rsidR="005D62BA" w:rsidRPr="006068A2" w:rsidRDefault="005D62BA" w:rsidP="00D7014B">
            <w:pPr>
              <w:spacing w:line="360" w:lineRule="auto"/>
              <w:rPr>
                <w:rFonts w:ascii="Arial" w:hAnsi="Arial" w:cs="Arial"/>
                <w:b/>
                <w:bCs/>
                <w:kern w:val="0"/>
                <w:sz w:val="22"/>
                <w:szCs w:val="22"/>
                <w:lang w:val="es-ES" w:eastAsia="es-CO"/>
                <w14:ligatures w14:val="none"/>
              </w:rPr>
            </w:pPr>
            <w:r w:rsidRPr="006068A2">
              <w:rPr>
                <w:rFonts w:ascii="Arial" w:hAnsi="Arial" w:cs="Arial"/>
                <w:b/>
                <w:bCs/>
                <w:kern w:val="0"/>
                <w:sz w:val="22"/>
                <w:szCs w:val="22"/>
                <w:lang w:val="es-ES" w:eastAsia="es-CO"/>
                <w14:ligatures w14:val="none"/>
              </w:rPr>
              <w:t>Total, de afiliados</w:t>
            </w:r>
          </w:p>
        </w:tc>
        <w:tc>
          <w:tcPr>
            <w:tcW w:w="1774" w:type="dxa"/>
            <w:noWrap/>
          </w:tcPr>
          <w:p w14:paraId="0E23D3ED" w14:textId="1754BC52"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8.021.580</w:t>
            </w:r>
            <w:r w:rsidR="00DB34A9">
              <w:rPr>
                <w:rStyle w:val="Refdenotaalpie"/>
                <w:rFonts w:ascii="Arial" w:hAnsi="Arial" w:cs="Arial"/>
                <w:b/>
                <w:bCs/>
                <w:kern w:val="0"/>
                <w:sz w:val="22"/>
                <w:szCs w:val="22"/>
                <w:lang w:eastAsia="es-CO"/>
                <w14:ligatures w14:val="none"/>
              </w:rPr>
              <w:footnoteReference w:id="3"/>
            </w:r>
          </w:p>
        </w:tc>
        <w:tc>
          <w:tcPr>
            <w:tcW w:w="3040" w:type="dxa"/>
            <w:noWrap/>
          </w:tcPr>
          <w:p w14:paraId="0F85DD9A"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p>
        </w:tc>
      </w:tr>
    </w:tbl>
    <w:p w14:paraId="305C74B7" w14:textId="77777777" w:rsidR="005D62BA" w:rsidRPr="00BD389C" w:rsidRDefault="005D62BA" w:rsidP="005D62BA">
      <w:pPr>
        <w:spacing w:line="360" w:lineRule="auto"/>
        <w:jc w:val="both"/>
        <w:rPr>
          <w:rFonts w:ascii="Arial" w:hAnsi="Arial" w:cs="Arial"/>
          <w:sz w:val="16"/>
          <w:szCs w:val="16"/>
          <w:lang w:val="es-ES"/>
        </w:rPr>
      </w:pPr>
      <w:r w:rsidRPr="00BD389C">
        <w:rPr>
          <w:rFonts w:ascii="Arial" w:eastAsia="Arial" w:hAnsi="Arial" w:cs="Arial"/>
          <w:sz w:val="16"/>
          <w:szCs w:val="16"/>
          <w:lang w:val="es"/>
        </w:rPr>
        <w:t xml:space="preserve">Fuente: </w:t>
      </w:r>
      <w:r w:rsidRPr="00BD389C">
        <w:rPr>
          <w:rFonts w:ascii="Arial" w:eastAsia="Arial" w:hAnsi="Arial" w:cs="Arial"/>
          <w:sz w:val="16"/>
          <w:szCs w:val="16"/>
          <w:lang w:val="es-ES"/>
        </w:rPr>
        <w:t xml:space="preserve"> </w:t>
      </w:r>
      <w:r w:rsidRPr="00BD389C">
        <w:rPr>
          <w:rFonts w:ascii="Arial" w:hAnsi="Arial" w:cs="Arial"/>
          <w:sz w:val="16"/>
          <w:szCs w:val="16"/>
          <w:lang w:val="es-ES"/>
        </w:rPr>
        <w:t>* Contributivo BDUA - ADRES, corte a 31 de diciembre de 2025.  * Subsidiado BDUA - ADRES, corte a 31 de diciembre de 2025. * Proyección censo DANE, actualización post Covid-19. * Reporte EAPB exceptuadas, diciembre 2025</w:t>
      </w:r>
    </w:p>
    <w:p w14:paraId="65F659D5" w14:textId="77777777" w:rsidR="005D62BA" w:rsidRPr="006068A2" w:rsidRDefault="005D62BA" w:rsidP="005D62BA">
      <w:pPr>
        <w:spacing w:line="360" w:lineRule="auto"/>
        <w:jc w:val="both"/>
        <w:rPr>
          <w:rFonts w:ascii="Arial" w:eastAsia="Arial" w:hAnsi="Arial" w:cs="Arial"/>
          <w:sz w:val="22"/>
          <w:szCs w:val="22"/>
          <w:lang w:val="es-ES"/>
        </w:rPr>
      </w:pPr>
    </w:p>
    <w:p w14:paraId="36E139E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 xml:space="preserve">Los afiliados de Coosalud EPS en Bogotá, lo que representa el 0,40% del total, ubicándose como la novena EPS en la ciudad, después de Sanitas, Compensar, Famisanar, Salud Total, Capital Salud, Nueva EPS, Sura y </w:t>
      </w:r>
      <w:proofErr w:type="spellStart"/>
      <w:r w:rsidRPr="006068A2">
        <w:rPr>
          <w:rFonts w:ascii="Arial" w:eastAsia="Arial" w:hAnsi="Arial" w:cs="Arial"/>
          <w:sz w:val="22"/>
          <w:szCs w:val="22"/>
          <w:lang w:val="es-ES"/>
        </w:rPr>
        <w:t>Aliansalud</w:t>
      </w:r>
      <w:proofErr w:type="spellEnd"/>
      <w:r w:rsidRPr="006068A2">
        <w:rPr>
          <w:rFonts w:ascii="Arial" w:eastAsia="Arial" w:hAnsi="Arial" w:cs="Arial"/>
          <w:sz w:val="22"/>
          <w:szCs w:val="22"/>
          <w:lang w:val="es-ES"/>
        </w:rPr>
        <w:t xml:space="preserve">. </w:t>
      </w:r>
    </w:p>
    <w:p w14:paraId="7977914F" w14:textId="77777777" w:rsidR="005D62BA" w:rsidRPr="006068A2" w:rsidRDefault="005D62BA" w:rsidP="005D62BA">
      <w:pPr>
        <w:spacing w:line="360" w:lineRule="auto"/>
        <w:jc w:val="both"/>
        <w:rPr>
          <w:rFonts w:ascii="Arial" w:eastAsia="Arial" w:hAnsi="Arial" w:cs="Arial"/>
          <w:sz w:val="22"/>
          <w:szCs w:val="22"/>
          <w:lang w:val="es-ES"/>
        </w:rPr>
      </w:pPr>
    </w:p>
    <w:p w14:paraId="7B0E729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la tabla 2, se puede ver la relación del número de afiliados en Bogotá discriminado por EPS en 2025.</w:t>
      </w:r>
    </w:p>
    <w:p w14:paraId="744F0476" w14:textId="77777777" w:rsidR="005D62BA" w:rsidRDefault="005D62BA" w:rsidP="005D62BA">
      <w:pPr>
        <w:pStyle w:val="Descripcin"/>
        <w:spacing w:after="0" w:line="360" w:lineRule="auto"/>
        <w:jc w:val="center"/>
        <w:rPr>
          <w:rFonts w:ascii="Arial" w:hAnsi="Arial" w:cs="Arial"/>
          <w:i w:val="0"/>
          <w:iCs w:val="0"/>
          <w:color w:val="000000" w:themeColor="text1"/>
          <w:sz w:val="22"/>
          <w:szCs w:val="22"/>
        </w:rPr>
      </w:pPr>
    </w:p>
    <w:p w14:paraId="166B1B94" w14:textId="240752F5" w:rsidR="005D62BA" w:rsidRPr="006068A2" w:rsidRDefault="005D62BA" w:rsidP="00C733C0">
      <w:pPr>
        <w:pStyle w:val="Descripcin"/>
        <w:spacing w:after="0" w:line="360" w:lineRule="auto"/>
        <w:jc w:val="both"/>
        <w:rPr>
          <w:rFonts w:ascii="Arial" w:eastAsia="Arial" w:hAnsi="Arial" w:cs="Arial"/>
          <w:i w:val="0"/>
          <w:iCs w:val="0"/>
          <w:color w:val="000000" w:themeColor="text1"/>
          <w:sz w:val="22"/>
          <w:szCs w:val="22"/>
          <w:lang w:val="es"/>
        </w:rPr>
      </w:pPr>
      <w:bookmarkStart w:id="7" w:name="_Toc229395859"/>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2</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Afiliados en Bogotá por EPS, 2025</w:t>
      </w:r>
      <w:bookmarkEnd w:id="7"/>
    </w:p>
    <w:tbl>
      <w:tblPr>
        <w:tblW w:w="0" w:type="auto"/>
        <w:tblLook w:val="04A0" w:firstRow="1" w:lastRow="0" w:firstColumn="1" w:lastColumn="0" w:noHBand="0" w:noVBand="1"/>
      </w:tblPr>
      <w:tblGrid>
        <w:gridCol w:w="3384"/>
        <w:gridCol w:w="1448"/>
        <w:gridCol w:w="1326"/>
        <w:gridCol w:w="1475"/>
        <w:gridCol w:w="1185"/>
      </w:tblGrid>
      <w:tr w:rsidR="005D62BA" w:rsidRPr="006068A2" w14:paraId="1BB3B25B"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0DC838"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9C6E2CF"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Contributivo</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F81090"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Subsidiado</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0A05DC6" w14:textId="77777777" w:rsidR="005D62BA" w:rsidRPr="006068A2" w:rsidRDefault="005D62BA" w:rsidP="00D7014B">
            <w:pPr>
              <w:spacing w:line="360" w:lineRule="auto"/>
              <w:jc w:val="center"/>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Afiliados</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3A394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del Total</w:t>
            </w:r>
          </w:p>
        </w:tc>
      </w:tr>
      <w:tr w:rsidR="005D62BA" w:rsidRPr="006068A2" w14:paraId="5D5AD48A"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7CE2001"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Sanitas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AEA32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1.617.069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B4D78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137.507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BCDB7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1.754.576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F3B34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22,6%</w:t>
            </w:r>
          </w:p>
        </w:tc>
      </w:tr>
      <w:tr w:rsidR="005D62BA" w:rsidRPr="006068A2" w14:paraId="2FA90875"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98A680"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Compensar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38335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1.323.069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16B5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186.489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04472D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1.509.558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F7208F"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w:t>
            </w:r>
          </w:p>
        </w:tc>
      </w:tr>
      <w:tr w:rsidR="005D62BA" w:rsidRPr="006068A2" w14:paraId="19C64DA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2B649BF"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Famisanar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37E4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978.341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94C94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214.118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F704B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1.192.459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C25E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15,3%</w:t>
            </w:r>
          </w:p>
        </w:tc>
      </w:tr>
      <w:tr w:rsidR="005D62BA" w:rsidRPr="006068A2" w14:paraId="185DBA7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79DF7DA"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Salud Total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A4D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879.612</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BCD3A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187.877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10ED4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1.067.489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86AE84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w:t>
            </w:r>
          </w:p>
        </w:tc>
      </w:tr>
      <w:tr w:rsidR="005D62BA" w:rsidRPr="006068A2" w14:paraId="5FA51E0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EC75CCB"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Capital 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13FB15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61.609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83F98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820.349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097BFA"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881.958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E5F2E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11,3%</w:t>
            </w:r>
          </w:p>
        </w:tc>
      </w:tr>
      <w:tr w:rsidR="005D62BA" w:rsidRPr="006068A2" w14:paraId="2ACA785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7EBC27"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Nueva EPS</w:t>
            </w:r>
          </w:p>
        </w:tc>
        <w:tc>
          <w:tcPr>
            <w:tcW w:w="13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04FF6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474.871</w:t>
            </w:r>
          </w:p>
        </w:tc>
        <w:tc>
          <w:tcPr>
            <w:tcW w:w="121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C801F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105.051</w:t>
            </w:r>
          </w:p>
        </w:tc>
        <w:tc>
          <w:tcPr>
            <w:tcW w:w="14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F525E"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579.922</w:t>
            </w:r>
          </w:p>
        </w:tc>
        <w:tc>
          <w:tcPr>
            <w:tcW w:w="12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07B57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7,5%</w:t>
            </w:r>
          </w:p>
        </w:tc>
      </w:tr>
      <w:tr w:rsidR="005D62BA" w:rsidRPr="006068A2" w14:paraId="50CAFAC6"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78C1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Sura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45B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432.057</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E5771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60.078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1741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492.135</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45B8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6,3%</w:t>
            </w:r>
          </w:p>
        </w:tc>
      </w:tr>
      <w:tr w:rsidR="005D62BA" w:rsidRPr="006068A2" w14:paraId="449A054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0358AC"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proofErr w:type="spellStart"/>
            <w:r w:rsidRPr="006068A2">
              <w:rPr>
                <w:rFonts w:ascii="Arial" w:eastAsia="Arial" w:hAnsi="Arial" w:cs="Arial"/>
                <w:color w:val="000000" w:themeColor="text1"/>
                <w:sz w:val="22"/>
                <w:szCs w:val="22"/>
                <w:lang w:val="es-ES"/>
              </w:rPr>
              <w:t>Aliansalud</w:t>
            </w:r>
            <w:proofErr w:type="spellEnd"/>
            <w:r w:rsidRPr="006068A2">
              <w:rPr>
                <w:rFonts w:ascii="Arial" w:eastAsia="Arial" w:hAnsi="Arial" w:cs="Arial"/>
                <w:color w:val="000000" w:themeColor="text1"/>
                <w:sz w:val="22"/>
                <w:szCs w:val="22"/>
                <w:lang w:val="es-ES"/>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6D70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250.516</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88DE3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7.464</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C29CE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257.980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40951F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3,3%</w:t>
            </w:r>
          </w:p>
        </w:tc>
      </w:tr>
      <w:tr w:rsidR="005D62BA" w:rsidRPr="006068A2" w14:paraId="175AA1A2"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63C8AC56" w14:textId="77777777" w:rsidR="005D62BA" w:rsidRPr="006068A2" w:rsidRDefault="005D62BA" w:rsidP="00D7014B">
            <w:pPr>
              <w:spacing w:line="360" w:lineRule="auto"/>
              <w:jc w:val="both"/>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Coosalud EPS</w:t>
            </w:r>
          </w:p>
        </w:tc>
        <w:tc>
          <w:tcPr>
            <w:tcW w:w="134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248846A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7.002</w:t>
            </w:r>
          </w:p>
        </w:tc>
        <w:tc>
          <w:tcPr>
            <w:tcW w:w="1216"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1B0AF4E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27.470</w:t>
            </w:r>
          </w:p>
        </w:tc>
        <w:tc>
          <w:tcPr>
            <w:tcW w:w="1491"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E61BD93"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34.472</w:t>
            </w:r>
          </w:p>
        </w:tc>
        <w:tc>
          <w:tcPr>
            <w:tcW w:w="1209"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56B275B6"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0,4%</w:t>
            </w:r>
          </w:p>
        </w:tc>
      </w:tr>
      <w:tr w:rsidR="005D62BA" w:rsidRPr="006068A2" w14:paraId="457791A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AF7878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Ferrocarriles Nacionales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516874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C4F9A35" w14:textId="77777777" w:rsidR="005D62BA" w:rsidRPr="006068A2" w:rsidRDefault="005D62BA" w:rsidP="00D7014B">
            <w:pPr>
              <w:spacing w:line="360" w:lineRule="auto"/>
              <w:jc w:val="center"/>
              <w:rPr>
                <w:rFonts w:ascii="Arial" w:eastAsia="Arial" w:hAnsi="Arial" w:cs="Arial"/>
                <w:color w:val="000000" w:themeColor="text1"/>
                <w:sz w:val="22"/>
                <w:szCs w:val="22"/>
              </w:rPr>
            </w:pP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4DBDC0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1953DF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0,04%</w:t>
            </w:r>
          </w:p>
        </w:tc>
      </w:tr>
      <w:tr w:rsidR="005D62BA" w:rsidRPr="006068A2" w14:paraId="42146B2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1AF0AF"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Mallamas EPSI</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F90349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A3DE4C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37ED6C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015487"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0,00%</w:t>
            </w:r>
          </w:p>
        </w:tc>
      </w:tr>
      <w:tr w:rsidR="005D62BA" w:rsidRPr="006068A2" w14:paraId="1A0897F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6076AA" w14:textId="77777777" w:rsidR="005D62BA" w:rsidRPr="006068A2" w:rsidRDefault="005D62BA" w:rsidP="00D7014B">
            <w:pPr>
              <w:spacing w:line="360" w:lineRule="auto"/>
              <w:jc w:val="both"/>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general</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B51F04"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6.026.881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3AC5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1.744.899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A6DE1E"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7.771.780</w:t>
            </w:r>
            <w:r w:rsidRPr="006068A2">
              <w:rPr>
                <w:rStyle w:val="Refdenotaalpie"/>
                <w:rFonts w:ascii="Arial" w:eastAsia="Arial" w:hAnsi="Arial" w:cs="Arial"/>
                <w:b/>
                <w:bCs/>
                <w:color w:val="000000" w:themeColor="text1"/>
                <w:sz w:val="22"/>
                <w:szCs w:val="22"/>
              </w:rPr>
              <w:footnoteReference w:id="4"/>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2A40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100%</w:t>
            </w:r>
          </w:p>
        </w:tc>
      </w:tr>
    </w:tbl>
    <w:p w14:paraId="56BAD4BE" w14:textId="77777777" w:rsidR="005D62BA" w:rsidRDefault="005D62BA" w:rsidP="005D62BA">
      <w:pPr>
        <w:spacing w:line="360" w:lineRule="auto"/>
        <w:jc w:val="both"/>
        <w:rPr>
          <w:rFonts w:ascii="Arial" w:eastAsia="Arial" w:hAnsi="Arial" w:cs="Arial"/>
          <w:sz w:val="16"/>
          <w:szCs w:val="16"/>
          <w:lang w:val="es-ES"/>
        </w:rPr>
      </w:pPr>
      <w:r w:rsidRPr="00E25D04">
        <w:rPr>
          <w:rFonts w:ascii="Arial" w:eastAsia="Arial" w:hAnsi="Arial" w:cs="Arial"/>
          <w:sz w:val="16"/>
          <w:szCs w:val="16"/>
          <w:lang w:val="es"/>
        </w:rPr>
        <w:t xml:space="preserve">Fuentes: </w:t>
      </w:r>
      <w:r w:rsidRPr="00E25D04">
        <w:rPr>
          <w:rFonts w:ascii="Arial" w:eastAsia="Arial" w:hAnsi="Arial" w:cs="Arial"/>
          <w:sz w:val="16"/>
          <w:szCs w:val="16"/>
          <w:lang w:val="es-ES"/>
        </w:rPr>
        <w:t>Contributivo BDUA - ADRES, corte a 6 de mayo de 2026.- Subsidiado BDUA - ADRES, corte a 6 de mayo de 2026.</w:t>
      </w:r>
      <w:r w:rsidRPr="00E25D04">
        <w:rPr>
          <w:rFonts w:ascii="Arial" w:hAnsi="Arial" w:cs="Arial"/>
          <w:sz w:val="16"/>
          <w:szCs w:val="16"/>
        </w:rPr>
        <w:t xml:space="preserve"> </w:t>
      </w:r>
      <w:hyperlink r:id="rId11" w:history="1">
        <w:r w:rsidRPr="008F0BB9">
          <w:rPr>
            <w:rStyle w:val="Hipervnculo"/>
            <w:rFonts w:ascii="Arial" w:eastAsia="Arial" w:hAnsi="Arial" w:cs="Arial"/>
            <w:sz w:val="16"/>
            <w:szCs w:val="16"/>
            <w:lang w:val="es-ES"/>
          </w:rPr>
          <w:t>https://public.tableau.com/app/profile/minsaludcol/viz/CifrasAseguramientoenSalud_16166927767750/Aseguramiento</w:t>
        </w:r>
      </w:hyperlink>
    </w:p>
    <w:p w14:paraId="58805A15" w14:textId="77777777" w:rsidR="005D62BA" w:rsidRPr="00E25D04" w:rsidRDefault="005D62BA" w:rsidP="005D62BA">
      <w:pPr>
        <w:spacing w:line="360" w:lineRule="auto"/>
        <w:jc w:val="both"/>
        <w:rPr>
          <w:rFonts w:ascii="Arial" w:eastAsia="Arial" w:hAnsi="Arial" w:cs="Arial"/>
          <w:sz w:val="16"/>
          <w:szCs w:val="16"/>
          <w:lang w:val="es-ES"/>
        </w:rPr>
      </w:pPr>
    </w:p>
    <w:p w14:paraId="3870B2B1" w14:textId="40EB37AE"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COOSALUD en Bogotá D.C., con corte a diciembre de 2025 y según la información registrada en el sitio web oficial del Ministerio de Salud y Protección Social (</w:t>
      </w:r>
      <w:hyperlink r:id="rId12" w:tgtFrame="_new" w:history="1">
        <w:r w:rsidRPr="006068A2">
          <w:rPr>
            <w:rStyle w:val="Hipervnculo"/>
            <w:rFonts w:ascii="Arial" w:eastAsia="Arial" w:hAnsi="Arial" w:cs="Arial"/>
            <w:bCs/>
            <w:sz w:val="22"/>
            <w:szCs w:val="22"/>
          </w:rPr>
          <w:t>https://public.tableau.com/app/profile/minsaludcol/viz/CifrasAseguramientoenSalud_1616</w:t>
        </w:r>
        <w:r w:rsidRPr="006068A2">
          <w:rPr>
            <w:rStyle w:val="Hipervnculo"/>
            <w:rFonts w:ascii="Arial" w:eastAsia="Arial" w:hAnsi="Arial" w:cs="Arial"/>
            <w:bCs/>
            <w:sz w:val="22"/>
            <w:szCs w:val="22"/>
          </w:rPr>
          <w:lastRenderedPageBreak/>
          <w:t>6927767750/Aseguramiento</w:t>
        </w:r>
      </w:hyperlink>
      <w:r w:rsidRPr="006068A2">
        <w:rPr>
          <w:rFonts w:ascii="Arial" w:eastAsia="Arial" w:hAnsi="Arial" w:cs="Arial"/>
          <w:bCs/>
          <w:sz w:val="22"/>
          <w:szCs w:val="22"/>
        </w:rPr>
        <w:t xml:space="preserve">), cuenta con un total de 34.472 afiliados. De este universo, 27.470 corresponden al régimen subsidiado, lo que representa el 79,69 %, mientras que 7.002 afiliados se encuentran </w:t>
      </w:r>
      <w:r w:rsidR="00912D02">
        <w:rPr>
          <w:rFonts w:ascii="Arial" w:eastAsia="Arial" w:hAnsi="Arial" w:cs="Arial"/>
          <w:bCs/>
          <w:sz w:val="22"/>
          <w:szCs w:val="22"/>
        </w:rPr>
        <w:t>en el régimen contributivo</w:t>
      </w:r>
      <w:r w:rsidRPr="006068A2">
        <w:rPr>
          <w:rFonts w:ascii="Arial" w:eastAsia="Arial" w:hAnsi="Arial" w:cs="Arial"/>
          <w:bCs/>
          <w:sz w:val="22"/>
          <w:szCs w:val="22"/>
        </w:rPr>
        <w:t>, equivalente al 20,31 %. Estos datos permiten evidenciar la predominancia del régimen subsidiado dentro de la población afiliada en la ciudad.</w:t>
      </w:r>
    </w:p>
    <w:p w14:paraId="56840EA2" w14:textId="77777777" w:rsidR="005D62BA" w:rsidRPr="006068A2" w:rsidRDefault="005D62BA" w:rsidP="005D62BA">
      <w:pPr>
        <w:spacing w:line="360" w:lineRule="auto"/>
        <w:jc w:val="both"/>
        <w:rPr>
          <w:rFonts w:ascii="Arial" w:eastAsia="Arial" w:hAnsi="Arial" w:cs="Arial"/>
          <w:bCs/>
          <w:sz w:val="22"/>
          <w:szCs w:val="22"/>
        </w:rPr>
      </w:pPr>
    </w:p>
    <w:p w14:paraId="233250FE"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En este sentido, la distribución porcentual refleja una alta concentración de usuarios en el régimen subsidiado, lo cual puede estar asociado a las condiciones socioeconómicas de la población atendida por la entidad en el Distrito Capital. Así mismo, el grupo en movilidad representa una proporción menor, pero significativa dentro del total de afiliados, lo que sugiere dinámicas de transición entre regímenes o continuidad en la atención en salud.</w:t>
      </w:r>
    </w:p>
    <w:p w14:paraId="5C59E894" w14:textId="77777777" w:rsidR="005D62BA" w:rsidRPr="006068A2" w:rsidRDefault="005D62BA" w:rsidP="005D62BA">
      <w:pPr>
        <w:spacing w:line="360" w:lineRule="auto"/>
        <w:jc w:val="both"/>
        <w:rPr>
          <w:rFonts w:ascii="Arial" w:eastAsia="Arial" w:hAnsi="Arial" w:cs="Arial"/>
          <w:bCs/>
          <w:sz w:val="22"/>
          <w:szCs w:val="22"/>
        </w:rPr>
      </w:pPr>
    </w:p>
    <w:p w14:paraId="2D148F9A" w14:textId="77777777" w:rsidR="00376DDE"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 xml:space="preserve">Igualmente, vale la pena señalar que, entre diciembre de 2021 y diciembre de 2025, la población afiliada de COOSALUD EPS en Bogotá D. C. presentó un incremento neto de 15.901 usuarios, al pasar de 18.571 afiliados en 2021 a 34.472 en 2025. </w:t>
      </w:r>
    </w:p>
    <w:p w14:paraId="0BA8240A" w14:textId="77777777" w:rsidR="00376DDE" w:rsidRDefault="00376DDE" w:rsidP="005D62BA">
      <w:pPr>
        <w:spacing w:line="360" w:lineRule="auto"/>
        <w:jc w:val="both"/>
        <w:rPr>
          <w:rFonts w:ascii="Arial" w:eastAsia="Arial" w:hAnsi="Arial" w:cs="Arial"/>
          <w:sz w:val="22"/>
          <w:szCs w:val="22"/>
        </w:rPr>
      </w:pPr>
    </w:p>
    <w:p w14:paraId="26678C3B" w14:textId="08D5C30B" w:rsidR="005D62BA"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Este comportamiento evidencia un crecimiento acumulado de la base de afiliación durante el periodo analizado, aunque con fluctuaciones importantes entre vigencias, marcadas por un aumento pronunciado en 2022, una reducción en 2023, un repunte en 2024 y una nueva disminución moderada en 2025. En consecuencia, más que una tendencia lineal de crecimiento o decrecimiento, la serie refleja una dinámica variable en la afiliación, probablemente asociada a procesos de movilidad entre EPS, actualizaciones de bases de datos, traslados de afiliados y cambios en las condiciones de aseguramiento de la población</w:t>
      </w:r>
    </w:p>
    <w:p w14:paraId="784553E9" w14:textId="77777777" w:rsidR="00376DDE" w:rsidRPr="006068A2" w:rsidRDefault="00376DDE" w:rsidP="005D62BA">
      <w:pPr>
        <w:spacing w:line="360" w:lineRule="auto"/>
        <w:jc w:val="both"/>
        <w:rPr>
          <w:rFonts w:ascii="Arial" w:eastAsia="Arial" w:hAnsi="Arial" w:cs="Arial"/>
          <w:sz w:val="22"/>
          <w:szCs w:val="22"/>
        </w:rPr>
      </w:pPr>
    </w:p>
    <w:p w14:paraId="6D7B76B8" w14:textId="2E6B5AD5" w:rsidR="005D62BA" w:rsidRPr="006068A2" w:rsidRDefault="005D62BA" w:rsidP="00C733C0">
      <w:pPr>
        <w:pStyle w:val="Descripcin"/>
        <w:spacing w:after="0" w:line="360" w:lineRule="auto"/>
        <w:jc w:val="both"/>
        <w:rPr>
          <w:rFonts w:ascii="Arial" w:eastAsia="Arial" w:hAnsi="Arial" w:cs="Arial"/>
          <w:i w:val="0"/>
          <w:iCs w:val="0"/>
          <w:color w:val="auto"/>
          <w:sz w:val="22"/>
          <w:szCs w:val="22"/>
        </w:rPr>
      </w:pPr>
      <w:bookmarkStart w:id="8" w:name="_Toc229395860"/>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Pr="006068A2">
        <w:rPr>
          <w:rFonts w:ascii="Arial" w:eastAsia="Arial" w:hAnsi="Arial" w:cs="Arial"/>
          <w:i w:val="0"/>
          <w:iCs w:val="0"/>
          <w:color w:val="auto"/>
          <w:sz w:val="22"/>
          <w:szCs w:val="22"/>
        </w:rPr>
        <w:t>Total, de población afiliada a COOSALUD EPS 2021-2025 – Bogotá D.C.</w:t>
      </w:r>
      <w:bookmarkEnd w:id="8"/>
    </w:p>
    <w:p w14:paraId="34865D6A" w14:textId="77777777" w:rsidR="005D62BA" w:rsidRPr="006068A2" w:rsidRDefault="005D62BA" w:rsidP="005D62BA">
      <w:pPr>
        <w:spacing w:line="360" w:lineRule="auto"/>
        <w:rPr>
          <w:rFonts w:ascii="Arial" w:eastAsia="Arial" w:hAnsi="Arial" w:cs="Arial"/>
          <w:sz w:val="22"/>
          <w:szCs w:val="22"/>
        </w:rPr>
      </w:pPr>
    </w:p>
    <w:tbl>
      <w:tblPr>
        <w:tblW w:w="7258" w:type="dxa"/>
        <w:jc w:val="center"/>
        <w:tblLook w:val="06A0" w:firstRow="1" w:lastRow="0" w:firstColumn="1" w:lastColumn="0" w:noHBand="1" w:noVBand="1"/>
      </w:tblPr>
      <w:tblGrid>
        <w:gridCol w:w="2101"/>
        <w:gridCol w:w="1116"/>
        <w:gridCol w:w="1000"/>
        <w:gridCol w:w="962"/>
        <w:gridCol w:w="1000"/>
        <w:gridCol w:w="1079"/>
      </w:tblGrid>
      <w:tr w:rsidR="005D62BA" w:rsidRPr="006068A2" w14:paraId="40E3EDB1" w14:textId="77777777" w:rsidTr="009C1C71">
        <w:trPr>
          <w:trHeight w:val="340"/>
          <w:jc w:val="center"/>
        </w:trPr>
        <w:tc>
          <w:tcPr>
            <w:tcW w:w="2101" w:type="dxa"/>
            <w:tcBorders>
              <w:top w:val="single" w:sz="4"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1BA8CF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Coosalud</w:t>
            </w:r>
          </w:p>
        </w:tc>
        <w:tc>
          <w:tcPr>
            <w:tcW w:w="111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BFABD1"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2021</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02F259A"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2022</w:t>
            </w:r>
          </w:p>
        </w:tc>
        <w:tc>
          <w:tcPr>
            <w:tcW w:w="962"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BC2530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2023</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8F7CB00"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2024</w:t>
            </w:r>
          </w:p>
        </w:tc>
        <w:tc>
          <w:tcPr>
            <w:tcW w:w="1079"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5336CDC"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2025</w:t>
            </w:r>
          </w:p>
        </w:tc>
      </w:tr>
      <w:tr w:rsidR="005D62BA" w:rsidRPr="006068A2" w14:paraId="1FB38E91"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3227ADE"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Contributivo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CD048C6"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4.890</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D84C1A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9.169</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90504F9"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09C82D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7.293</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F558A9D"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7.002</w:t>
            </w:r>
          </w:p>
        </w:tc>
      </w:tr>
      <w:tr w:rsidR="005D62BA" w:rsidRPr="006068A2" w14:paraId="669A69DC"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67108DF"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Subsidiado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96E35B0"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13.681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40EA99C"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27.065</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18D8524"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23.726</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D3963C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28.078</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DB5E83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27.470</w:t>
            </w:r>
          </w:p>
        </w:tc>
      </w:tr>
      <w:tr w:rsidR="005D62BA" w:rsidRPr="006068A2" w14:paraId="2BA6C538" w14:textId="77777777" w:rsidTr="009C1C71">
        <w:trPr>
          <w:trHeight w:val="686"/>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CDBFBA1" w14:textId="77777777" w:rsidR="005D62BA" w:rsidRPr="006068A2" w:rsidRDefault="005D62BA" w:rsidP="00D7014B">
            <w:pPr>
              <w:spacing w:line="360" w:lineRule="auto"/>
              <w:jc w:val="both"/>
              <w:rPr>
                <w:rFonts w:ascii="Arial" w:eastAsia="Arial" w:hAnsi="Arial" w:cs="Arial"/>
                <w:b/>
                <w:bCs/>
                <w:sz w:val="22"/>
                <w:szCs w:val="22"/>
              </w:rPr>
            </w:pPr>
            <w:r w:rsidRPr="006068A2">
              <w:rPr>
                <w:rFonts w:ascii="Arial" w:eastAsia="Arial" w:hAnsi="Arial" w:cs="Arial"/>
                <w:b/>
                <w:bCs/>
                <w:sz w:val="22"/>
                <w:szCs w:val="22"/>
              </w:rPr>
              <w:t xml:space="preserve">Total, Afiliados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E51401B"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18.571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E1525D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36.234</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5AC298"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31.007</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0E7E7F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35.371</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BA7853"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34.472</w:t>
            </w:r>
          </w:p>
        </w:tc>
      </w:tr>
    </w:tbl>
    <w:p w14:paraId="37E8D09B" w14:textId="37D82AB0" w:rsidR="005D62BA" w:rsidRDefault="005D62BA" w:rsidP="005D62BA">
      <w:pPr>
        <w:spacing w:line="360" w:lineRule="auto"/>
        <w:jc w:val="both"/>
        <w:rPr>
          <w:rFonts w:ascii="Arial" w:eastAsia="Arial" w:hAnsi="Arial" w:cs="Arial"/>
          <w:sz w:val="16"/>
          <w:szCs w:val="16"/>
        </w:rPr>
      </w:pPr>
      <w:r w:rsidRPr="00D44226">
        <w:rPr>
          <w:rFonts w:ascii="Arial" w:eastAsia="Arial" w:hAnsi="Arial" w:cs="Arial"/>
          <w:sz w:val="16"/>
          <w:szCs w:val="16"/>
        </w:rPr>
        <w:lastRenderedPageBreak/>
        <w:t xml:space="preserve">Fuente: Ministerio de Salud y Protección Social. Cifras de afiliación en salud (Datos para descarga: “Cifras diciembre 2025”, corte a </w:t>
      </w:r>
      <w:r w:rsidR="00900608">
        <w:rPr>
          <w:rFonts w:ascii="Arial" w:eastAsia="Arial" w:hAnsi="Arial" w:cs="Arial"/>
          <w:sz w:val="16"/>
          <w:szCs w:val="16"/>
        </w:rPr>
        <w:t>31</w:t>
      </w:r>
      <w:r w:rsidRPr="00D44226">
        <w:rPr>
          <w:rFonts w:ascii="Arial" w:eastAsia="Arial" w:hAnsi="Arial" w:cs="Arial"/>
          <w:sz w:val="16"/>
          <w:szCs w:val="16"/>
        </w:rPr>
        <w:t xml:space="preserve"> de </w:t>
      </w:r>
      <w:r w:rsidR="00900608">
        <w:rPr>
          <w:rFonts w:ascii="Arial" w:eastAsia="Arial" w:hAnsi="Arial" w:cs="Arial"/>
          <w:sz w:val="16"/>
          <w:szCs w:val="16"/>
        </w:rPr>
        <w:t>diciembre</w:t>
      </w:r>
      <w:r w:rsidRPr="00D44226">
        <w:rPr>
          <w:rFonts w:ascii="Arial" w:eastAsia="Arial" w:hAnsi="Arial" w:cs="Arial"/>
          <w:sz w:val="16"/>
          <w:szCs w:val="16"/>
        </w:rPr>
        <w:t xml:space="preserve"> de 2025). Consultado el 06 de mayo de 2026 en </w:t>
      </w:r>
      <w:hyperlink r:id="rId13" w:history="1">
        <w:r w:rsidRPr="008F0BB9">
          <w:rPr>
            <w:rStyle w:val="Hipervnculo"/>
            <w:rFonts w:ascii="Arial" w:eastAsia="Arial" w:hAnsi="Arial" w:cs="Arial"/>
            <w:sz w:val="16"/>
            <w:szCs w:val="16"/>
          </w:rPr>
          <w:t>https://public.tableau.com/app/profile/minsaludcol/viz/CifrasAseguramientoenSalud_16166927767750/Aseguramiento</w:t>
        </w:r>
      </w:hyperlink>
    </w:p>
    <w:p w14:paraId="7997AD49" w14:textId="77777777" w:rsidR="005D62BA" w:rsidRPr="006068A2" w:rsidRDefault="005D62BA" w:rsidP="005D62BA">
      <w:pPr>
        <w:spacing w:line="360" w:lineRule="auto"/>
        <w:jc w:val="both"/>
        <w:rPr>
          <w:rFonts w:ascii="Arial" w:eastAsia="Arial" w:hAnsi="Arial" w:cs="Arial"/>
          <w:sz w:val="22"/>
          <w:szCs w:val="22"/>
        </w:rPr>
      </w:pPr>
    </w:p>
    <w:p w14:paraId="20EF5451"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Durante el periodo 2021–2025, la población afiliada a COOSALUD EPS en Bogotá D. C. presentó un comportamiento fluctuante, con aumentos y reducciones en distintos momentos del periodo analizado. Luego de registrar 18.571 afiliados en 2021, la EPS alcanzó su nivel más alto en 2022, con 36.234 usuarios, lo que representó un incremento de 95,1% frente al año anterior. Posteriormente, en 2023, la afiliación descendió a 31.007 usuarios, equivalente a una disminución de 14,4% respecto de 2022.</w:t>
      </w:r>
    </w:p>
    <w:p w14:paraId="18826FBC" w14:textId="77777777" w:rsidR="00DB7E37" w:rsidRPr="00DB7E37" w:rsidRDefault="00DB7E37" w:rsidP="00DB7E37">
      <w:pPr>
        <w:spacing w:line="360" w:lineRule="auto"/>
        <w:jc w:val="both"/>
        <w:rPr>
          <w:rFonts w:ascii="Arial" w:eastAsia="Arial" w:hAnsi="Arial" w:cs="Arial"/>
          <w:sz w:val="22"/>
          <w:szCs w:val="22"/>
        </w:rPr>
      </w:pPr>
    </w:p>
    <w:p w14:paraId="5F053DA3"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En 2024 se observó un nuevo repunte, al alcanzar 35.371 afiliados, con una variación positiva de 14,1% frente a 2023. Sin embargo, al cierre de 2025 la población afiliada volvió a reducirse, ubicándose en 34.472 usuarios, lo que corresponde a una disminución de 2,5% en comparación con 2024. Pese a esta última caída, el balance del periodo muestra un crecimiento neto de 15.901 afiliados entre 2021 y 2025, lo que evidencia una expansión acumulada de la base de afiliación de la EPS en Bogotá.</w:t>
      </w:r>
    </w:p>
    <w:p w14:paraId="671A74D9" w14:textId="77777777" w:rsidR="00DB7E37" w:rsidRPr="00DB7E37" w:rsidRDefault="00DB7E37" w:rsidP="00DB7E37">
      <w:pPr>
        <w:spacing w:line="360" w:lineRule="auto"/>
        <w:jc w:val="both"/>
        <w:rPr>
          <w:rFonts w:ascii="Arial" w:eastAsia="Arial" w:hAnsi="Arial" w:cs="Arial"/>
          <w:sz w:val="22"/>
          <w:szCs w:val="22"/>
        </w:rPr>
      </w:pPr>
    </w:p>
    <w:p w14:paraId="78A282CC" w14:textId="7D01927A" w:rsidR="005D62BA"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Por régimen, el comportamiento también refleja variaciones relevantes. En el régimen contributivo, la afiliación pasó de 4.890 usuarios en 2021 a 7.002 en 2025, mientras que en el subsidiado aumentó de 13.681 a 27.470 afiliados en el mismo periodo. En conjunto, estas fluctuaciones sugieren dinámicas propias del sistema de aseguramiento, asociadas a movilidad de afiliados entre EPS, procesos de actualización y depuración de bases de datos, así como cambios en las condiciones de afiliación de la población.</w:t>
      </w:r>
    </w:p>
    <w:p w14:paraId="57DA68ED" w14:textId="77777777" w:rsidR="00DB7E37" w:rsidRPr="006068A2" w:rsidRDefault="00DB7E37" w:rsidP="00DB7E37">
      <w:pPr>
        <w:spacing w:line="360" w:lineRule="auto"/>
        <w:jc w:val="both"/>
        <w:rPr>
          <w:rFonts w:ascii="Arial" w:eastAsia="Arial" w:hAnsi="Arial" w:cs="Arial"/>
          <w:sz w:val="22"/>
          <w:szCs w:val="22"/>
        </w:rPr>
      </w:pPr>
    </w:p>
    <w:p w14:paraId="0D80C725" w14:textId="13762B73" w:rsidR="005D62BA" w:rsidRDefault="00E2542F" w:rsidP="003F3C8F">
      <w:pPr>
        <w:spacing w:line="360" w:lineRule="auto"/>
        <w:jc w:val="center"/>
        <w:rPr>
          <w:rFonts w:ascii="Arial" w:eastAsia="Arial" w:hAnsi="Arial" w:cs="Arial"/>
          <w:sz w:val="22"/>
          <w:szCs w:val="22"/>
        </w:rPr>
      </w:pPr>
      <w:bookmarkStart w:id="9" w:name="_Toc229395919"/>
      <w:r>
        <w:rPr>
          <w:rFonts w:ascii="Arial" w:hAnsi="Arial" w:cs="Arial"/>
          <w:sz w:val="22"/>
          <w:szCs w:val="22"/>
        </w:rPr>
        <w:t>Gráfica</w:t>
      </w:r>
      <w:r w:rsidR="005D62BA" w:rsidRPr="006068A2">
        <w:rPr>
          <w:rFonts w:ascii="Arial" w:hAnsi="Arial" w:cs="Arial"/>
          <w:sz w:val="22"/>
          <w:szCs w:val="22"/>
        </w:rPr>
        <w:t xml:space="preserve"> </w:t>
      </w:r>
      <w:r w:rsidR="005D62BA" w:rsidRPr="006068A2">
        <w:rPr>
          <w:rFonts w:ascii="Arial" w:hAnsi="Arial" w:cs="Arial"/>
          <w:i/>
          <w:iCs/>
          <w:sz w:val="22"/>
          <w:szCs w:val="22"/>
        </w:rPr>
        <w:fldChar w:fldCharType="begin"/>
      </w:r>
      <w:r w:rsidR="005D62BA" w:rsidRPr="006068A2">
        <w:rPr>
          <w:rFonts w:ascii="Arial" w:hAnsi="Arial" w:cs="Arial"/>
          <w:sz w:val="22"/>
          <w:szCs w:val="22"/>
        </w:rPr>
        <w:instrText xml:space="preserve"> SEQ Ilustración \* ARABIC </w:instrText>
      </w:r>
      <w:r w:rsidR="005D62BA" w:rsidRPr="006068A2">
        <w:rPr>
          <w:rFonts w:ascii="Arial" w:hAnsi="Arial" w:cs="Arial"/>
          <w:i/>
          <w:iCs/>
          <w:sz w:val="22"/>
          <w:szCs w:val="22"/>
        </w:rPr>
        <w:fldChar w:fldCharType="separate"/>
      </w:r>
      <w:r w:rsidR="009E481B">
        <w:rPr>
          <w:rFonts w:ascii="Arial" w:hAnsi="Arial" w:cs="Arial"/>
          <w:noProof/>
          <w:sz w:val="22"/>
          <w:szCs w:val="22"/>
        </w:rPr>
        <w:t>1</w:t>
      </w:r>
      <w:r w:rsidR="005D62BA" w:rsidRPr="006068A2">
        <w:rPr>
          <w:rFonts w:ascii="Arial" w:hAnsi="Arial" w:cs="Arial"/>
          <w:i/>
          <w:iCs/>
          <w:sz w:val="22"/>
          <w:szCs w:val="22"/>
        </w:rPr>
        <w:fldChar w:fldCharType="end"/>
      </w:r>
      <w:r w:rsidR="005D62BA" w:rsidRPr="006068A2">
        <w:rPr>
          <w:rFonts w:ascii="Arial" w:hAnsi="Arial" w:cs="Arial"/>
          <w:sz w:val="22"/>
          <w:szCs w:val="22"/>
        </w:rPr>
        <w:t xml:space="preserve">. </w:t>
      </w:r>
      <w:r w:rsidR="005D62BA" w:rsidRPr="006068A2">
        <w:rPr>
          <w:rFonts w:ascii="Arial" w:eastAsia="Arial" w:hAnsi="Arial" w:cs="Arial"/>
          <w:sz w:val="22"/>
          <w:szCs w:val="22"/>
        </w:rPr>
        <w:t>Tendencia afiliados COOSALUD EPS por régimen 2021-2025 - Bogotá D.C.</w:t>
      </w:r>
      <w:bookmarkEnd w:id="9"/>
    </w:p>
    <w:p w14:paraId="206493CF" w14:textId="77777777" w:rsidR="005D62BA" w:rsidRPr="006068A2" w:rsidRDefault="005D62BA" w:rsidP="005D62BA">
      <w:pPr>
        <w:spacing w:line="360" w:lineRule="auto"/>
        <w:jc w:val="both"/>
        <w:rPr>
          <w:rFonts w:ascii="Arial" w:hAnsi="Arial" w:cs="Arial"/>
          <w:i/>
          <w:iCs/>
          <w:color w:val="EE0000"/>
          <w:sz w:val="22"/>
          <w:szCs w:val="22"/>
        </w:rPr>
      </w:pPr>
    </w:p>
    <w:p w14:paraId="4D873CF9" w14:textId="77777777" w:rsidR="005D62BA" w:rsidRPr="006068A2" w:rsidRDefault="005D62BA" w:rsidP="005D62BA">
      <w:pPr>
        <w:spacing w:line="360" w:lineRule="auto"/>
        <w:jc w:val="both"/>
        <w:rPr>
          <w:rFonts w:ascii="Arial" w:hAnsi="Arial" w:cs="Arial"/>
          <w:sz w:val="22"/>
          <w:szCs w:val="22"/>
        </w:rPr>
      </w:pPr>
      <w:r w:rsidRPr="006068A2">
        <w:rPr>
          <w:rFonts w:ascii="Arial" w:hAnsi="Arial" w:cs="Arial"/>
          <w:noProof/>
          <w:sz w:val="22"/>
          <w:szCs w:val="22"/>
          <w:lang w:eastAsia="es-CO"/>
        </w:rPr>
        <w:lastRenderedPageBreak/>
        <w:drawing>
          <wp:inline distT="0" distB="0" distL="0" distR="0" wp14:anchorId="270469D5" wp14:editId="516BA8BA">
            <wp:extent cx="5505450" cy="1981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AEEF4" w14:textId="02AA2C4E" w:rsidR="005D62BA" w:rsidRPr="00AD104F" w:rsidRDefault="005D62BA" w:rsidP="00D756EA">
      <w:pPr>
        <w:spacing w:line="360" w:lineRule="auto"/>
        <w:rPr>
          <w:rFonts w:ascii="Arial" w:eastAsia="Arial" w:hAnsi="Arial" w:cs="Arial"/>
          <w:sz w:val="16"/>
          <w:szCs w:val="16"/>
        </w:rPr>
      </w:pPr>
      <w:r w:rsidRPr="00AD104F">
        <w:rPr>
          <w:rFonts w:ascii="Arial" w:eastAsia="Arial" w:hAnsi="Arial" w:cs="Arial"/>
          <w:sz w:val="16"/>
          <w:szCs w:val="16"/>
        </w:rPr>
        <w:t>Fuente: Ministerio de Salud y Protección Social. Cifras de afiliación en salud, corte a 3</w:t>
      </w:r>
      <w:r w:rsidR="008E5221">
        <w:rPr>
          <w:rFonts w:ascii="Arial" w:eastAsia="Arial" w:hAnsi="Arial" w:cs="Arial"/>
          <w:sz w:val="16"/>
          <w:szCs w:val="16"/>
        </w:rPr>
        <w:t>1-12</w:t>
      </w:r>
      <w:r w:rsidRPr="00AD104F">
        <w:rPr>
          <w:rFonts w:ascii="Arial" w:eastAsia="Arial" w:hAnsi="Arial" w:cs="Arial"/>
          <w:sz w:val="16"/>
          <w:szCs w:val="16"/>
        </w:rPr>
        <w:t>-2025. Consultado en:</w:t>
      </w:r>
    </w:p>
    <w:p w14:paraId="67EDDFF4" w14:textId="77777777" w:rsidR="005D62BA" w:rsidRPr="00AD104F" w:rsidRDefault="00000000" w:rsidP="005D62BA">
      <w:pPr>
        <w:spacing w:line="360" w:lineRule="auto"/>
        <w:jc w:val="both"/>
        <w:rPr>
          <w:rFonts w:ascii="Arial" w:eastAsia="Arial" w:hAnsi="Arial" w:cs="Arial"/>
          <w:sz w:val="16"/>
          <w:szCs w:val="16"/>
        </w:rPr>
      </w:pPr>
      <w:hyperlink r:id="rId15" w:history="1">
        <w:r w:rsidR="005D62BA" w:rsidRPr="00AD104F">
          <w:rPr>
            <w:rStyle w:val="Hipervnculo"/>
            <w:rFonts w:ascii="Arial" w:eastAsia="Arial" w:hAnsi="Arial" w:cs="Arial"/>
            <w:sz w:val="16"/>
            <w:szCs w:val="16"/>
          </w:rPr>
          <w:t>https://public.tableau.com/app/profile/minsaludcol/viz/CifrasAseguramientoenSalud_16166927767750/Aseguramiento</w:t>
        </w:r>
      </w:hyperlink>
    </w:p>
    <w:p w14:paraId="2BB58143" w14:textId="77777777" w:rsidR="005D62BA" w:rsidRPr="006068A2" w:rsidRDefault="005D62BA" w:rsidP="005D62BA">
      <w:pPr>
        <w:spacing w:line="360" w:lineRule="auto"/>
        <w:jc w:val="both"/>
        <w:rPr>
          <w:rFonts w:ascii="Arial" w:eastAsia="Arial" w:hAnsi="Arial" w:cs="Arial"/>
          <w:sz w:val="22"/>
          <w:szCs w:val="22"/>
        </w:rPr>
      </w:pPr>
    </w:p>
    <w:p w14:paraId="5A7E5326" w14:textId="117833E5" w:rsidR="004A18E2" w:rsidRPr="004A18E2" w:rsidRDefault="0043304F" w:rsidP="004A18E2">
      <w:pPr>
        <w:spacing w:line="360" w:lineRule="auto"/>
        <w:jc w:val="both"/>
        <w:rPr>
          <w:rFonts w:ascii="Arial" w:eastAsia="Arial" w:hAnsi="Arial" w:cs="Arial"/>
          <w:sz w:val="22"/>
          <w:szCs w:val="22"/>
        </w:rPr>
      </w:pPr>
      <w:r>
        <w:rPr>
          <w:rFonts w:ascii="Arial" w:eastAsia="Arial" w:hAnsi="Arial" w:cs="Arial"/>
          <w:sz w:val="22"/>
          <w:szCs w:val="22"/>
        </w:rPr>
        <w:t>Ahora bien, l</w:t>
      </w:r>
      <w:r w:rsidR="004A18E2" w:rsidRPr="004A18E2">
        <w:rPr>
          <w:rFonts w:ascii="Arial" w:eastAsia="Arial" w:hAnsi="Arial" w:cs="Arial"/>
          <w:sz w:val="22"/>
          <w:szCs w:val="22"/>
        </w:rPr>
        <w:t xml:space="preserve">a </w:t>
      </w:r>
      <w:r w:rsidR="00E2542F">
        <w:rPr>
          <w:rFonts w:ascii="Arial" w:eastAsia="Arial" w:hAnsi="Arial" w:cs="Arial"/>
          <w:sz w:val="22"/>
          <w:szCs w:val="22"/>
        </w:rPr>
        <w:t>Gráfica</w:t>
      </w:r>
      <w:r w:rsidR="004A18E2" w:rsidRPr="004A18E2">
        <w:rPr>
          <w:rFonts w:ascii="Arial" w:eastAsia="Arial" w:hAnsi="Arial" w:cs="Arial"/>
          <w:sz w:val="22"/>
          <w:szCs w:val="22"/>
        </w:rPr>
        <w:t xml:space="preserve"> 1 muestra la evolución de la afiliación de COOSALUD EPS en Bogotá D. C. por régimen durante el periodo 2021–2025, evidenciando un comportamiento fluctuante en ambos componentes, aunque con crecimiento acumulado al cierre del periodo. En el régimen contributivo, la afiliación pasó de 4.890 usuarios en 2021 a 7.002 en 2025, lo que representa un incremento de 43,19%. No obstante, este comportamiento no fue lineal, dado que en 2022 se registró el valor más alto de la serie, con 9.169 afiliados, seguido de una reducción a 7.281 en 2023, una relativa estabilidad en 2024 con 7.293 y una nueva disminución en 2025. Esta trayectoria sugiere variaciones en la permanencia de la población afiliada en este régimen, las cuales conviene contrastar con la dinámica de movilidad, traslados y novedades de afiliación registradas en el periodo.</w:t>
      </w:r>
    </w:p>
    <w:p w14:paraId="3B48B02C" w14:textId="77777777" w:rsidR="004A18E2" w:rsidRPr="004A18E2" w:rsidRDefault="004A18E2" w:rsidP="004A18E2">
      <w:pPr>
        <w:spacing w:line="360" w:lineRule="auto"/>
        <w:jc w:val="both"/>
        <w:rPr>
          <w:rFonts w:ascii="Arial" w:eastAsia="Arial" w:hAnsi="Arial" w:cs="Arial"/>
          <w:sz w:val="22"/>
          <w:szCs w:val="22"/>
        </w:rPr>
      </w:pPr>
    </w:p>
    <w:p w14:paraId="6E9B59E1" w14:textId="77777777" w:rsidR="004A18E2" w:rsidRPr="004A18E2" w:rsidRDefault="004A18E2" w:rsidP="004A18E2">
      <w:pPr>
        <w:spacing w:line="360" w:lineRule="auto"/>
        <w:jc w:val="both"/>
        <w:rPr>
          <w:rFonts w:ascii="Arial" w:eastAsia="Arial" w:hAnsi="Arial" w:cs="Arial"/>
          <w:sz w:val="22"/>
          <w:szCs w:val="22"/>
        </w:rPr>
      </w:pPr>
      <w:r w:rsidRPr="004A18E2">
        <w:rPr>
          <w:rFonts w:ascii="Arial" w:eastAsia="Arial" w:hAnsi="Arial" w:cs="Arial"/>
          <w:sz w:val="22"/>
          <w:szCs w:val="22"/>
        </w:rPr>
        <w:t>En el régimen subsidiado, por su parte, la afiliación pasó de 13.681 usuarios en 2021 a 27.470 en 2025, equivalente a un incremento de 100,79%, lo que indica que el crecimiento acumulado de COOSALUD EPS en Bogotá estuvo impulsado principalmente por este régimen. Sin embargo, al igual que en el contributivo, la evolución no fue completamente estable: después de aumentar de manera importante en 2022, descender en 2023 y alcanzar su punto más alto en 2024 con 28.078 afiliados, en 2025 se observó una reducción a 27.470 usuarios, correspondiente a una disminución de 2,17% frente al año anterior. Aunque esta caída no modifica la tendencia acumulada de crecimiento, sí evidencia una desaceleración reciente en la expansión de la base afiliada.</w:t>
      </w:r>
    </w:p>
    <w:p w14:paraId="58D3FB08" w14:textId="775D912A" w:rsidR="004A18E2" w:rsidRPr="004A18E2" w:rsidRDefault="004A18E2" w:rsidP="004A18E2">
      <w:pPr>
        <w:spacing w:line="360" w:lineRule="auto"/>
        <w:jc w:val="both"/>
        <w:rPr>
          <w:rFonts w:ascii="Arial" w:eastAsia="Arial" w:hAnsi="Arial" w:cs="Arial"/>
          <w:sz w:val="22"/>
          <w:szCs w:val="22"/>
        </w:rPr>
      </w:pPr>
    </w:p>
    <w:p w14:paraId="5C7AA450" w14:textId="296B8917" w:rsidR="005D62BA" w:rsidRDefault="004A18E2" w:rsidP="006C38A8">
      <w:pPr>
        <w:spacing w:line="360" w:lineRule="auto"/>
        <w:jc w:val="both"/>
        <w:rPr>
          <w:rFonts w:ascii="Arial" w:eastAsia="Arial" w:hAnsi="Arial" w:cs="Arial"/>
          <w:sz w:val="22"/>
          <w:szCs w:val="22"/>
        </w:rPr>
      </w:pPr>
      <w:r w:rsidRPr="004A18E2">
        <w:rPr>
          <w:rFonts w:ascii="Arial" w:eastAsia="Arial" w:hAnsi="Arial" w:cs="Arial"/>
          <w:sz w:val="22"/>
          <w:szCs w:val="22"/>
        </w:rPr>
        <w:lastRenderedPageBreak/>
        <w:t>En conjunto, la lectura por régimen confirma lo señalado previamente para el total de afiliados: entre 2021 y 2025 COOSALUD EPS amplió su base de afiliación en Bogotá, al pasar de 18.571 a 34.472 usuarios, con un crecimiento neto de 15.901 afiliados. No obstante, dicho comportamiento estuvo acompañado de fluctuaciones interanuales que reflejan una dinámica variable del aseguramiento, probablemente asociada a traslados entre EPS, novedades en la afiliación, procesos de depuración de bases de datos y cambios en las condiciones de aseguramiento de la población. En este sentido, más que una trayectoria de crecimiento sostenido, la serie muestra una expansión con episodios de ajuste, cuya interpretación debe complementarse con el análisis de los movimientos de la BDUA y de las novedades territoriales del periodo.</w:t>
      </w:r>
    </w:p>
    <w:p w14:paraId="1ED1E3D9" w14:textId="77777777" w:rsidR="004A18E2" w:rsidRPr="006068A2" w:rsidRDefault="004A18E2" w:rsidP="006C38A8">
      <w:pPr>
        <w:spacing w:line="360" w:lineRule="auto"/>
        <w:jc w:val="both"/>
        <w:rPr>
          <w:rFonts w:ascii="Arial" w:eastAsia="Arial" w:hAnsi="Arial" w:cs="Arial"/>
          <w:sz w:val="22"/>
          <w:szCs w:val="22"/>
        </w:rPr>
      </w:pPr>
    </w:p>
    <w:p w14:paraId="7629D465" w14:textId="78278D4C" w:rsidR="00B170A1"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 xml:space="preserve">En cuanto a la composición por sexo, la </w:t>
      </w:r>
      <w:r w:rsidR="00E2542F">
        <w:rPr>
          <w:rFonts w:ascii="Arial" w:eastAsia="Arial" w:hAnsi="Arial" w:cs="Arial"/>
          <w:sz w:val="22"/>
          <w:szCs w:val="22"/>
        </w:rPr>
        <w:t>Gráfica</w:t>
      </w:r>
      <w:r w:rsidRPr="006C38A8">
        <w:rPr>
          <w:rFonts w:ascii="Arial" w:eastAsia="Arial" w:hAnsi="Arial" w:cs="Arial"/>
          <w:sz w:val="22"/>
          <w:szCs w:val="22"/>
        </w:rPr>
        <w:t xml:space="preserve"> 2 evidencia diferencias moderadas entre los dos regímenes de afiliación de COOSALUD EPS en Bogotá D. C. En el régimen subsidiado se observa predominio del sexo femenino, con 14.111 afiliadas, equivalentes al 52,88%, frente a 12.575 afiliados del sexo masculino, correspondientes al 47,12%. Por su parte, en el régimen contributivo el patrón se invierte: predominan los hombres, con 3.410 afiliados (53,50%), mientras que las mujeres representan 2.964 afiliadas (46,50%). </w:t>
      </w:r>
    </w:p>
    <w:p w14:paraId="71AA40BB" w14:textId="77777777" w:rsidR="00B170A1" w:rsidRDefault="00B170A1" w:rsidP="006C38A8">
      <w:pPr>
        <w:spacing w:line="360" w:lineRule="auto"/>
        <w:jc w:val="both"/>
        <w:rPr>
          <w:rFonts w:ascii="Arial" w:eastAsia="Arial" w:hAnsi="Arial" w:cs="Arial"/>
          <w:sz w:val="22"/>
          <w:szCs w:val="22"/>
        </w:rPr>
      </w:pPr>
    </w:p>
    <w:p w14:paraId="7B5CBB3D" w14:textId="3DC60B3F" w:rsidR="006C38A8" w:rsidRPr="006C38A8"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2C3E514C" w14:textId="77777777" w:rsidR="00FB3F22" w:rsidRDefault="00FB3F22" w:rsidP="00FB3F22">
      <w:pPr>
        <w:rPr>
          <w:rFonts w:eastAsia="Arial"/>
        </w:rPr>
      </w:pPr>
    </w:p>
    <w:p w14:paraId="0E70D1C4" w14:textId="4CCB20E0" w:rsidR="16C47202" w:rsidRPr="00FB3F22" w:rsidRDefault="009E481B" w:rsidP="003A1441">
      <w:pPr>
        <w:spacing w:line="360" w:lineRule="auto"/>
        <w:jc w:val="both"/>
        <w:rPr>
          <w:rFonts w:ascii="Arial" w:eastAsia="Arial" w:hAnsi="Arial" w:cs="Arial"/>
          <w:sz w:val="16"/>
          <w:szCs w:val="16"/>
        </w:rPr>
      </w:pPr>
      <w:r>
        <w:rPr>
          <w:rFonts w:ascii="Arial" w:eastAsia="Arial" w:hAnsi="Arial" w:cs="Arial"/>
          <w:i/>
          <w:iCs/>
          <w:noProof/>
          <w:sz w:val="22"/>
          <w:szCs w:val="22"/>
        </w:rPr>
        <w:lastRenderedPageBreak/>
        <mc:AlternateContent>
          <mc:Choice Requires="wpg">
            <w:drawing>
              <wp:anchor distT="0" distB="0" distL="114300" distR="114300" simplePos="0" relativeHeight="251659264" behindDoc="0" locked="0" layoutInCell="1" allowOverlap="1" wp14:anchorId="59769527" wp14:editId="4B188008">
                <wp:simplePos x="0" y="0"/>
                <wp:positionH relativeFrom="column">
                  <wp:posOffset>-3810</wp:posOffset>
                </wp:positionH>
                <wp:positionV relativeFrom="paragraph">
                  <wp:posOffset>262255</wp:posOffset>
                </wp:positionV>
                <wp:extent cx="5495925" cy="3018790"/>
                <wp:effectExtent l="19050" t="19050" r="28575" b="10160"/>
                <wp:wrapThrough wrapText="bothSides">
                  <wp:wrapPolygon edited="0">
                    <wp:start x="10407" y="-136"/>
                    <wp:lineTo x="-75" y="-136"/>
                    <wp:lineTo x="-75" y="21536"/>
                    <wp:lineTo x="21637" y="21536"/>
                    <wp:lineTo x="21637" y="-136"/>
                    <wp:lineTo x="10407" y="-136"/>
                  </wp:wrapPolygon>
                </wp:wrapThrough>
                <wp:docPr id="6" name="Grupo 6"/>
                <wp:cNvGraphicFramePr/>
                <a:graphic xmlns:a="http://schemas.openxmlformats.org/drawingml/2006/main">
                  <a:graphicData uri="http://schemas.microsoft.com/office/word/2010/wordprocessingGroup">
                    <wpg:wgp>
                      <wpg:cNvGrpSpPr/>
                      <wpg:grpSpPr>
                        <a:xfrm>
                          <a:off x="0" y="0"/>
                          <a:ext cx="5495925" cy="3018790"/>
                          <a:chOff x="0" y="0"/>
                          <a:chExt cx="5495925" cy="3018790"/>
                        </a:xfrm>
                      </wpg:grpSpPr>
                      <pic:pic xmlns:pic="http://schemas.openxmlformats.org/drawingml/2006/picture">
                        <pic:nvPicPr>
                          <pic:cNvPr id="617704289" name="drawing"/>
                          <pic:cNvPicPr>
                            <a:picLocks noChangeAspect="1"/>
                          </pic:cNvPicPr>
                        </pic:nvPicPr>
                        <pic:blipFill>
                          <a:blip r:embed="rId16">
                            <a:extLst>
                              <a:ext uri="{BEBA8EAE-BF5A-486C-A8C5-ECC9F3942E4B}">
                                <a14:imgProps xmlns:a14="http://schemas.microsoft.com/office/drawing/2010/main">
                                  <a14:imgLayer r:embed="rId17">
                                    <a14:imgEffect>
                                      <a14:sharpenSoften amount="25000"/>
                                    </a14:imgEffect>
                                  </a14:imgLayer>
                                </a14:imgProps>
                              </a:ext>
                              <a:ext uri="{28A0092B-C50C-407E-A947-70E740481C1C}">
                                <a14:useLocalDpi xmlns:a14="http://schemas.microsoft.com/office/drawing/2010/main" val="0"/>
                              </a:ext>
                            </a:extLst>
                          </a:blip>
                          <a:stretch>
                            <a:fillRect/>
                          </a:stretch>
                        </pic:blipFill>
                        <pic:spPr>
                          <a:xfrm>
                            <a:off x="2695575" y="0"/>
                            <a:ext cx="2800350" cy="3018790"/>
                          </a:xfrm>
                          <a:prstGeom prst="rect">
                            <a:avLst/>
                          </a:prstGeom>
                          <a:ln w="9525">
                            <a:solidFill>
                              <a:schemeClr val="tx1"/>
                            </a:solidFill>
                            <a:prstDash val="solid"/>
                          </a:ln>
                        </pic:spPr>
                      </pic:pic>
                      <pic:pic xmlns:pic="http://schemas.openxmlformats.org/drawingml/2006/picture">
                        <pic:nvPicPr>
                          <pic:cNvPr id="763675194" name="drawing"/>
                          <pic:cNvPicPr>
                            <a:picLocks noChangeAspect="1"/>
                          </pic:cNvPicPr>
                        </pic:nvPicPr>
                        <pic:blipFill>
                          <a:blip r:embed="rId18">
                            <a:extLst>
                              <a:ext uri="{BEBA8EAE-BF5A-486C-A8C5-ECC9F3942E4B}">
                                <a14:imgProps xmlns:a14="http://schemas.microsoft.com/office/drawing/2010/main">
                                  <a14:imgLayer r:embed="rId19">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19050"/>
                            <a:ext cx="2693670" cy="2999740"/>
                          </a:xfrm>
                          <a:prstGeom prst="rect">
                            <a:avLst/>
                          </a:prstGeom>
                          <a:ln w="9525">
                            <a:solidFill>
                              <a:schemeClr val="tx1"/>
                            </a:solidFill>
                            <a:prstDash val="solid"/>
                          </a:ln>
                        </pic:spPr>
                      </pic:pic>
                    </wpg:wgp>
                  </a:graphicData>
                </a:graphic>
              </wp:anchor>
            </w:drawing>
          </mc:Choice>
          <mc:Fallback>
            <w:pict>
              <v:group w14:anchorId="3F524DF5" id="Grupo 6" o:spid="_x0000_s1026" style="position:absolute;margin-left:-.3pt;margin-top:20.65pt;width:432.75pt;height:237.7pt;z-index:251659264" coordsize="54959,3018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rawing" o:spid="_x0000_s1027" type="#_x0000_t75" style="position:absolute;left:26955;width:28004;height:30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" stroked="t" strokecolor="black [3213]">
                  <v:imagedata r:id="rId21" o:title=""/>
                  <v:path arrowok="t"/>
                </v:shape>
                <v:shape id="drawing" o:spid="_x0000_s1028" type="#_x0000_t75" style="position:absolute;top:190;width:26936;height:2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" stroked="t" strokecolor="black [3213]">
                  <v:imagedata r:id="rId22" o:title=""/>
                  <v:path arrowok="t"/>
                </v:shape>
                <w10:wrap type="through"/>
              </v:group>
            </w:pict>
          </mc:Fallback>
        </mc:AlternateContent>
      </w:r>
      <w:r>
        <w:rPr>
          <w:noProof/>
        </w:rPr>
        <mc:AlternateContent>
          <mc:Choice Requires="wps">
            <w:drawing>
              <wp:anchor distT="0" distB="0" distL="114300" distR="114300" simplePos="0" relativeHeight="251661312" behindDoc="0" locked="0" layoutInCell="1" allowOverlap="1" wp14:anchorId="789768A7" wp14:editId="0AC85D95">
                <wp:simplePos x="0" y="0"/>
                <wp:positionH relativeFrom="column">
                  <wp:posOffset>110490</wp:posOffset>
                </wp:positionH>
                <wp:positionV relativeFrom="paragraph">
                  <wp:posOffset>0</wp:posOffset>
                </wp:positionV>
                <wp:extent cx="5495925" cy="635"/>
                <wp:effectExtent l="0" t="0" r="0" b="0"/>
                <wp:wrapThrough wrapText="bothSides">
                  <wp:wrapPolygon edited="0">
                    <wp:start x="0" y="0"/>
                    <wp:lineTo x="0" y="21600"/>
                    <wp:lineTo x="21600" y="21600"/>
                    <wp:lineTo x="21600" y="0"/>
                  </wp:wrapPolygon>
                </wp:wrapThrough>
                <wp:docPr id="7" name="Cuadro de texto 7"/>
                <wp:cNvGraphicFramePr/>
                <a:graphic xmlns:a="http://schemas.openxmlformats.org/drawingml/2006/main">
                  <a:graphicData uri="http://schemas.microsoft.com/office/word/2010/wordprocessingShape">
                    <wps:wsp>
                      <wps:cNvSpPr txBox="1"/>
                      <wps:spPr>
                        <a:xfrm>
                          <a:off x="0" y="0"/>
                          <a:ext cx="5495925" cy="635"/>
                        </a:xfrm>
                        <a:prstGeom prst="rect">
                          <a:avLst/>
                        </a:prstGeom>
                        <a:solidFill>
                          <a:prstClr val="white"/>
                        </a:solidFill>
                        <a:ln>
                          <a:noFill/>
                        </a:ln>
                      </wps:spPr>
                      <wps:txbx>
                        <w:txbxContent>
                          <w:p w14:paraId="4FACE3ED" w14:textId="0E6E5FBB" w:rsidR="009E481B" w:rsidRPr="009E481B" w:rsidRDefault="00E2542F" w:rsidP="00C733C0">
                            <w:pPr>
                              <w:pStyle w:val="Descripcin"/>
                              <w:jc w:val="both"/>
                              <w:rPr>
                                <w:rFonts w:ascii="Arial" w:eastAsia="Arial" w:hAnsi="Arial" w:cs="Arial"/>
                                <w:i w:val="0"/>
                                <w:iCs w:val="0"/>
                                <w:noProof/>
                                <w:color w:val="auto"/>
                                <w:sz w:val="28"/>
                                <w:szCs w:val="28"/>
                              </w:rPr>
                            </w:pPr>
                            <w:bookmarkStart w:id="10" w:name="_Toc229395920"/>
                            <w:r>
                              <w:rPr>
                                <w:rFonts w:ascii="Arial" w:hAnsi="Arial" w:cs="Arial"/>
                                <w:i w:val="0"/>
                                <w:iCs w:val="0"/>
                                <w:color w:val="auto"/>
                                <w:sz w:val="22"/>
                                <w:szCs w:val="22"/>
                              </w:rPr>
                              <w:t>Gráfica</w:t>
                            </w:r>
                            <w:r w:rsidR="009E481B" w:rsidRPr="009E481B">
                              <w:rPr>
                                <w:rFonts w:ascii="Arial" w:hAnsi="Arial" w:cs="Arial"/>
                                <w:i w:val="0"/>
                                <w:iCs w:val="0"/>
                                <w:color w:val="auto"/>
                                <w:sz w:val="22"/>
                                <w:szCs w:val="22"/>
                              </w:rPr>
                              <w:t xml:space="preserve"> </w:t>
                            </w:r>
                            <w:r w:rsidR="009E481B" w:rsidRPr="009E481B">
                              <w:rPr>
                                <w:rFonts w:ascii="Arial" w:hAnsi="Arial" w:cs="Arial"/>
                                <w:i w:val="0"/>
                                <w:iCs w:val="0"/>
                                <w:color w:val="auto"/>
                                <w:sz w:val="22"/>
                                <w:szCs w:val="22"/>
                              </w:rPr>
                              <w:fldChar w:fldCharType="begin"/>
                            </w:r>
                            <w:r w:rsidR="009E481B" w:rsidRPr="009E481B">
                              <w:rPr>
                                <w:rFonts w:ascii="Arial" w:hAnsi="Arial" w:cs="Arial"/>
                                <w:i w:val="0"/>
                                <w:iCs w:val="0"/>
                                <w:color w:val="auto"/>
                                <w:sz w:val="22"/>
                                <w:szCs w:val="22"/>
                              </w:rPr>
                              <w:instrText xml:space="preserve"> SEQ Ilustración \* ARABIC </w:instrText>
                            </w:r>
                            <w:r w:rsidR="009E481B" w:rsidRPr="009E481B">
                              <w:rPr>
                                <w:rFonts w:ascii="Arial" w:hAnsi="Arial" w:cs="Arial"/>
                                <w:i w:val="0"/>
                                <w:iCs w:val="0"/>
                                <w:color w:val="auto"/>
                                <w:sz w:val="22"/>
                                <w:szCs w:val="22"/>
                              </w:rPr>
                              <w:fldChar w:fldCharType="separate"/>
                            </w:r>
                            <w:r w:rsidR="009E481B" w:rsidRPr="009E481B">
                              <w:rPr>
                                <w:rFonts w:ascii="Arial" w:hAnsi="Arial" w:cs="Arial"/>
                                <w:i w:val="0"/>
                                <w:iCs w:val="0"/>
                                <w:noProof/>
                                <w:color w:val="auto"/>
                                <w:sz w:val="22"/>
                                <w:szCs w:val="22"/>
                              </w:rPr>
                              <w:t>2</w:t>
                            </w:r>
                            <w:r w:rsidR="009E481B" w:rsidRPr="009E481B">
                              <w:rPr>
                                <w:rFonts w:ascii="Arial" w:hAnsi="Arial" w:cs="Arial"/>
                                <w:i w:val="0"/>
                                <w:iCs w:val="0"/>
                                <w:color w:val="auto"/>
                                <w:sz w:val="22"/>
                                <w:szCs w:val="22"/>
                              </w:rPr>
                              <w:fldChar w:fldCharType="end"/>
                            </w:r>
                            <w:r w:rsidR="009E481B" w:rsidRPr="009E481B">
                              <w:rPr>
                                <w:rFonts w:ascii="Arial" w:hAnsi="Arial" w:cs="Arial"/>
                                <w:i w:val="0"/>
                                <w:iCs w:val="0"/>
                                <w:color w:val="auto"/>
                                <w:sz w:val="22"/>
                                <w:szCs w:val="22"/>
                              </w:rPr>
                              <w:t>: Afiliados por edad y género COOSALUD EPS – Bogotá D.C.</w:t>
                            </w:r>
                            <w:bookmarkEnd w:id="1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768A7" id="_x0000_t202" coordsize="21600,21600" o:spt="202" path="m,l,21600r21600,l21600,xe">
                <v:stroke joinstyle="miter"/>
                <v:path gradientshapeok="t" o:connecttype="rect"/>
              </v:shapetype>
              <v:shape id="Cuadro de texto 7" o:spid="_x0000_s1026" type="#_x0000_t202" style="position:absolute;left:0;text-align:left;margin-left:8.7pt;margin-top:0;width:432.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" stroked="f">
                <v:textbox style="mso-fit-shape-to-text:t" inset="0,0,0,0">
                  <w:txbxContent>
                    <w:p w14:paraId="4FACE3ED" w14:textId="0E6E5FBB" w:rsidR="009E481B" w:rsidRPr="009E481B" w:rsidRDefault="00E2542F" w:rsidP="00C733C0">
                      <w:pPr>
                        <w:pStyle w:val="Descripcin"/>
                        <w:jc w:val="both"/>
                        <w:rPr>
                          <w:rFonts w:ascii="Arial" w:eastAsia="Arial" w:hAnsi="Arial" w:cs="Arial"/>
                          <w:i w:val="0"/>
                          <w:iCs w:val="0"/>
                          <w:noProof/>
                          <w:color w:val="auto"/>
                          <w:sz w:val="28"/>
                          <w:szCs w:val="28"/>
                        </w:rPr>
                      </w:pPr>
                      <w:bookmarkStart w:id="11" w:name="_Toc229395920"/>
                      <w:r>
                        <w:rPr>
                          <w:rFonts w:ascii="Arial" w:hAnsi="Arial" w:cs="Arial"/>
                          <w:i w:val="0"/>
                          <w:iCs w:val="0"/>
                          <w:color w:val="auto"/>
                          <w:sz w:val="22"/>
                          <w:szCs w:val="22"/>
                        </w:rPr>
                        <w:t>Gráfica</w:t>
                      </w:r>
                      <w:r w:rsidR="009E481B" w:rsidRPr="009E481B">
                        <w:rPr>
                          <w:rFonts w:ascii="Arial" w:hAnsi="Arial" w:cs="Arial"/>
                          <w:i w:val="0"/>
                          <w:iCs w:val="0"/>
                          <w:color w:val="auto"/>
                          <w:sz w:val="22"/>
                          <w:szCs w:val="22"/>
                        </w:rPr>
                        <w:t xml:space="preserve"> </w:t>
                      </w:r>
                      <w:r w:rsidR="009E481B" w:rsidRPr="009E481B">
                        <w:rPr>
                          <w:rFonts w:ascii="Arial" w:hAnsi="Arial" w:cs="Arial"/>
                          <w:i w:val="0"/>
                          <w:iCs w:val="0"/>
                          <w:color w:val="auto"/>
                          <w:sz w:val="22"/>
                          <w:szCs w:val="22"/>
                        </w:rPr>
                        <w:fldChar w:fldCharType="begin"/>
                      </w:r>
                      <w:r w:rsidR="009E481B" w:rsidRPr="009E481B">
                        <w:rPr>
                          <w:rFonts w:ascii="Arial" w:hAnsi="Arial" w:cs="Arial"/>
                          <w:i w:val="0"/>
                          <w:iCs w:val="0"/>
                          <w:color w:val="auto"/>
                          <w:sz w:val="22"/>
                          <w:szCs w:val="22"/>
                        </w:rPr>
                        <w:instrText xml:space="preserve"> SEQ Ilustración \* ARABIC </w:instrText>
                      </w:r>
                      <w:r w:rsidR="009E481B" w:rsidRPr="009E481B">
                        <w:rPr>
                          <w:rFonts w:ascii="Arial" w:hAnsi="Arial" w:cs="Arial"/>
                          <w:i w:val="0"/>
                          <w:iCs w:val="0"/>
                          <w:color w:val="auto"/>
                          <w:sz w:val="22"/>
                          <w:szCs w:val="22"/>
                        </w:rPr>
                        <w:fldChar w:fldCharType="separate"/>
                      </w:r>
                      <w:r w:rsidR="009E481B" w:rsidRPr="009E481B">
                        <w:rPr>
                          <w:rFonts w:ascii="Arial" w:hAnsi="Arial" w:cs="Arial"/>
                          <w:i w:val="0"/>
                          <w:iCs w:val="0"/>
                          <w:noProof/>
                          <w:color w:val="auto"/>
                          <w:sz w:val="22"/>
                          <w:szCs w:val="22"/>
                        </w:rPr>
                        <w:t>2</w:t>
                      </w:r>
                      <w:r w:rsidR="009E481B" w:rsidRPr="009E481B">
                        <w:rPr>
                          <w:rFonts w:ascii="Arial" w:hAnsi="Arial" w:cs="Arial"/>
                          <w:i w:val="0"/>
                          <w:iCs w:val="0"/>
                          <w:color w:val="auto"/>
                          <w:sz w:val="22"/>
                          <w:szCs w:val="22"/>
                        </w:rPr>
                        <w:fldChar w:fldCharType="end"/>
                      </w:r>
                      <w:r w:rsidR="009E481B" w:rsidRPr="009E481B">
                        <w:rPr>
                          <w:rFonts w:ascii="Arial" w:hAnsi="Arial" w:cs="Arial"/>
                          <w:i w:val="0"/>
                          <w:iCs w:val="0"/>
                          <w:color w:val="auto"/>
                          <w:sz w:val="22"/>
                          <w:szCs w:val="22"/>
                        </w:rPr>
                        <w:t>: Afiliados por edad y género COOSALUD EPS – Bogotá D.C.</w:t>
                      </w:r>
                      <w:bookmarkEnd w:id="11"/>
                    </w:p>
                  </w:txbxContent>
                </v:textbox>
                <w10:wrap type="through"/>
              </v:shape>
            </w:pict>
          </mc:Fallback>
        </mc:AlternateContent>
      </w:r>
      <w:r w:rsidR="16C47202" w:rsidRPr="00FB3F22">
        <w:rPr>
          <w:rFonts w:ascii="Arial" w:eastAsia="Arial" w:hAnsi="Arial" w:cs="Arial"/>
          <w:sz w:val="16"/>
          <w:szCs w:val="16"/>
        </w:rPr>
        <w:t>Fuentes: Ministerio de Salud y Protección Social. Cifras de afiliación en salud, corte a 0</w:t>
      </w:r>
      <w:r w:rsidR="56C3FA53" w:rsidRPr="00FB3F22">
        <w:rPr>
          <w:rFonts w:ascii="Arial" w:eastAsia="Arial" w:hAnsi="Arial" w:cs="Arial"/>
          <w:sz w:val="16"/>
          <w:szCs w:val="16"/>
        </w:rPr>
        <w:t>2</w:t>
      </w:r>
      <w:r w:rsidR="16C47202" w:rsidRPr="00FB3F22">
        <w:rPr>
          <w:rFonts w:ascii="Arial" w:eastAsia="Arial" w:hAnsi="Arial" w:cs="Arial"/>
          <w:sz w:val="16"/>
          <w:szCs w:val="16"/>
        </w:rPr>
        <w:t xml:space="preserve">-2026. </w:t>
      </w:r>
      <w:hyperlink r:id="rId23">
        <w:r w:rsidR="16C47202" w:rsidRPr="00FB3F22">
          <w:rPr>
            <w:rStyle w:val="Hipervnculo"/>
            <w:rFonts w:ascii="Arial" w:eastAsia="Arial" w:hAnsi="Arial" w:cs="Arial"/>
            <w:color w:val="auto"/>
            <w:sz w:val="16"/>
            <w:szCs w:val="16"/>
          </w:rPr>
          <w:t>https://www.minsalud.gov.co/proteccionsocial/paginas/cifras-aseguramiento-salud.aspx</w:t>
        </w:r>
      </w:hyperlink>
      <w:r w:rsidR="16C47202" w:rsidRPr="00FB3F22">
        <w:rPr>
          <w:rFonts w:ascii="Arial" w:eastAsia="Arial" w:hAnsi="Arial" w:cs="Arial"/>
          <w:sz w:val="16"/>
          <w:szCs w:val="16"/>
        </w:rPr>
        <w:t xml:space="preserve"> </w:t>
      </w:r>
    </w:p>
    <w:p w14:paraId="497FA6B5" w14:textId="77777777" w:rsidR="002E1439" w:rsidRPr="006C38A8" w:rsidRDefault="002E1439" w:rsidP="002E1439">
      <w:pPr>
        <w:spacing w:line="360" w:lineRule="auto"/>
        <w:jc w:val="both"/>
        <w:rPr>
          <w:rFonts w:ascii="Arial" w:eastAsia="Arial" w:hAnsi="Arial" w:cs="Arial"/>
          <w:sz w:val="22"/>
          <w:szCs w:val="22"/>
        </w:rPr>
      </w:pPr>
    </w:p>
    <w:p w14:paraId="412B57A1" w14:textId="77777777" w:rsidR="002E1439" w:rsidRDefault="002E1439" w:rsidP="002E1439">
      <w:pPr>
        <w:spacing w:line="360" w:lineRule="auto"/>
        <w:jc w:val="both"/>
        <w:rPr>
          <w:rFonts w:eastAsia="Arial"/>
        </w:rPr>
      </w:pPr>
      <w:r w:rsidRPr="006C38A8">
        <w:rPr>
          <w:rFonts w:ascii="Arial" w:eastAsia="Arial" w:hAnsi="Arial" w:cs="Arial"/>
          <w:sz w:val="22"/>
          <w:szCs w:val="22"/>
        </w:rPr>
        <w:t>Asimismo, la distribución por edad muestra que, tanto en el régimen subsidiado como en el contributivo, el grupo quinquenal con mayor concentración de afiliados corresponde al rango de 25 a 29 años. En el subsidiado este grupo reúne 2.674 afiliados, mientras que en el contributivo concentra 1.108 afiliados, lo que confirma una composición poblacional predominantemente joven-adulta. Este patrón sugiere la necesidad de fortalecer intervenciones orientadas a promoción de la salud, prevención temprana, detección oportuna de riesgos y adopción de estilos de vida saludables, sin perder de vista que también existen grupos de mayor edad que demandan seguimiento clínico, continuidad en la atención y abordaje oportuno de condiciones crónicas.</w:t>
      </w:r>
    </w:p>
    <w:p w14:paraId="02836E65" w14:textId="7463462D" w:rsidR="0FA2B586" w:rsidRPr="008E5221" w:rsidRDefault="0FA2B586" w:rsidP="008E5221">
      <w:pPr>
        <w:spacing w:line="360" w:lineRule="auto"/>
        <w:jc w:val="both"/>
        <w:rPr>
          <w:rFonts w:ascii="Arial" w:eastAsia="Arial" w:hAnsi="Arial" w:cs="Arial"/>
          <w:color w:val="EE0000"/>
          <w:sz w:val="22"/>
          <w:szCs w:val="22"/>
        </w:rPr>
      </w:pPr>
    </w:p>
    <w:p w14:paraId="5A03AB93" w14:textId="586DAADF" w:rsidR="27918249" w:rsidRPr="006068A2" w:rsidRDefault="1B82D134"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Teniendo en cuenta que la ciudad de Bogotá soporta la red contratada de media y alta complejidad de los municipios circunvecinos, entre ellos, Soacha, Chía, Funza, Mosquera, </w:t>
      </w:r>
      <w:r w:rsidR="1EE961B0" w:rsidRPr="006068A2">
        <w:rPr>
          <w:rFonts w:ascii="Arial" w:eastAsia="Arial" w:hAnsi="Arial" w:cs="Arial"/>
          <w:sz w:val="22"/>
          <w:szCs w:val="22"/>
        </w:rPr>
        <w:t xml:space="preserve">y </w:t>
      </w:r>
      <w:r w:rsidRPr="006068A2">
        <w:rPr>
          <w:rFonts w:ascii="Arial" w:eastAsia="Arial" w:hAnsi="Arial" w:cs="Arial"/>
          <w:sz w:val="22"/>
          <w:szCs w:val="22"/>
        </w:rPr>
        <w:t xml:space="preserve">Madrid; a continuación, se detalla la población afiliada de dichos municipios a </w:t>
      </w:r>
      <w:r w:rsidR="00714F6A" w:rsidRPr="006068A2">
        <w:rPr>
          <w:rFonts w:ascii="Arial" w:eastAsia="Arial" w:hAnsi="Arial" w:cs="Arial"/>
          <w:sz w:val="22"/>
          <w:szCs w:val="22"/>
        </w:rPr>
        <w:t>EPS COOSALUD</w:t>
      </w:r>
      <w:r w:rsidRPr="006068A2">
        <w:rPr>
          <w:rFonts w:ascii="Arial" w:eastAsia="Arial" w:hAnsi="Arial" w:cs="Arial"/>
          <w:sz w:val="22"/>
          <w:szCs w:val="22"/>
        </w:rPr>
        <w:t xml:space="preserve"> por los dos regímenes, entre 2021 a 2025, así:</w:t>
      </w:r>
    </w:p>
    <w:p w14:paraId="49527FDA" w14:textId="77777777" w:rsidR="00213F66" w:rsidRPr="006068A2" w:rsidRDefault="00213F66" w:rsidP="006068A2">
      <w:pPr>
        <w:spacing w:line="360" w:lineRule="auto"/>
        <w:jc w:val="both"/>
        <w:rPr>
          <w:rFonts w:ascii="Arial" w:hAnsi="Arial" w:cs="Arial"/>
          <w:sz w:val="22"/>
          <w:szCs w:val="22"/>
        </w:rPr>
      </w:pPr>
    </w:p>
    <w:p w14:paraId="59649867" w14:textId="77777777" w:rsidR="00213F66" w:rsidRPr="006068A2" w:rsidRDefault="00213F66" w:rsidP="006068A2">
      <w:pPr>
        <w:spacing w:line="360" w:lineRule="auto"/>
        <w:jc w:val="both"/>
        <w:rPr>
          <w:rFonts w:ascii="Arial" w:hAnsi="Arial" w:cs="Arial"/>
          <w:sz w:val="22"/>
          <w:szCs w:val="22"/>
        </w:rPr>
      </w:pPr>
    </w:p>
    <w:p w14:paraId="2B3C7031" w14:textId="7339811C" w:rsidR="32BFC104" w:rsidRPr="006068A2" w:rsidRDefault="00B11D92" w:rsidP="003F3C8F">
      <w:pPr>
        <w:pStyle w:val="Descripcin"/>
        <w:spacing w:after="0" w:line="360" w:lineRule="auto"/>
        <w:jc w:val="both"/>
        <w:rPr>
          <w:rFonts w:ascii="Arial" w:eastAsia="Arial" w:hAnsi="Arial" w:cs="Arial"/>
          <w:i w:val="0"/>
          <w:iCs w:val="0"/>
          <w:color w:val="auto"/>
          <w:sz w:val="22"/>
          <w:szCs w:val="22"/>
        </w:rPr>
      </w:pPr>
      <w:bookmarkStart w:id="11" w:name="_Toc229395861"/>
      <w:r w:rsidRPr="006068A2">
        <w:rPr>
          <w:rFonts w:ascii="Arial" w:eastAsia="Arial" w:hAnsi="Arial" w:cs="Arial"/>
          <w:i w:val="0"/>
          <w:iCs w:val="0"/>
          <w:color w:val="auto"/>
          <w:sz w:val="22"/>
          <w:szCs w:val="22"/>
        </w:rPr>
        <w:t xml:space="preserve">Tabla </w:t>
      </w:r>
      <w:r w:rsidRPr="006068A2">
        <w:rPr>
          <w:rFonts w:ascii="Arial" w:eastAsia="Arial" w:hAnsi="Arial" w:cs="Arial"/>
          <w:i w:val="0"/>
          <w:iCs w:val="0"/>
          <w:color w:val="auto"/>
          <w:sz w:val="22"/>
          <w:szCs w:val="22"/>
        </w:rPr>
        <w:fldChar w:fldCharType="begin"/>
      </w:r>
      <w:r w:rsidRPr="006068A2">
        <w:rPr>
          <w:rFonts w:ascii="Arial" w:eastAsia="Arial" w:hAnsi="Arial" w:cs="Arial"/>
          <w:i w:val="0"/>
          <w:iCs w:val="0"/>
          <w:color w:val="auto"/>
          <w:sz w:val="22"/>
          <w:szCs w:val="22"/>
        </w:rPr>
        <w:instrText xml:space="preserve"> SEQ Tabla \* ARABIC </w:instrText>
      </w:r>
      <w:r w:rsidRPr="006068A2">
        <w:rPr>
          <w:rFonts w:ascii="Arial" w:eastAsia="Arial" w:hAnsi="Arial" w:cs="Arial"/>
          <w:i w:val="0"/>
          <w:iCs w:val="0"/>
          <w:color w:val="auto"/>
          <w:sz w:val="22"/>
          <w:szCs w:val="22"/>
        </w:rPr>
        <w:fldChar w:fldCharType="separate"/>
      </w:r>
      <w:r w:rsidR="00CB6C8D">
        <w:rPr>
          <w:rFonts w:ascii="Arial" w:eastAsia="Arial" w:hAnsi="Arial" w:cs="Arial"/>
          <w:i w:val="0"/>
          <w:iCs w:val="0"/>
          <w:noProof/>
          <w:color w:val="auto"/>
          <w:sz w:val="22"/>
          <w:szCs w:val="22"/>
        </w:rPr>
        <w:t>4</w:t>
      </w:r>
      <w:r w:rsidRPr="006068A2">
        <w:rPr>
          <w:rFonts w:ascii="Arial" w:eastAsia="Arial" w:hAnsi="Arial" w:cs="Arial"/>
          <w:i w:val="0"/>
          <w:iCs w:val="0"/>
          <w:color w:val="auto"/>
          <w:sz w:val="22"/>
          <w:szCs w:val="22"/>
        </w:rPr>
        <w:fldChar w:fldCharType="end"/>
      </w:r>
      <w:r w:rsidRPr="006068A2">
        <w:rPr>
          <w:rFonts w:ascii="Arial" w:eastAsia="Arial" w:hAnsi="Arial" w:cs="Arial"/>
          <w:i w:val="0"/>
          <w:iCs w:val="0"/>
          <w:color w:val="auto"/>
          <w:sz w:val="22"/>
          <w:szCs w:val="22"/>
        </w:rPr>
        <w:t>. Afiliados COOSALUD EPS municipios circunvecinos por régimen 2021-2025</w:t>
      </w:r>
      <w:bookmarkEnd w:id="11"/>
    </w:p>
    <w:tbl>
      <w:tblPr>
        <w:tblStyle w:val="Tablaconcuadrcula"/>
        <w:tblW w:w="9808" w:type="dxa"/>
        <w:jc w:val="center"/>
        <w:tblLook w:val="06A0" w:firstRow="1" w:lastRow="0" w:firstColumn="1" w:lastColumn="0" w:noHBand="1" w:noVBand="1"/>
      </w:tblPr>
      <w:tblGrid>
        <w:gridCol w:w="1244"/>
        <w:gridCol w:w="889"/>
        <w:gridCol w:w="850"/>
        <w:gridCol w:w="889"/>
        <w:gridCol w:w="806"/>
        <w:gridCol w:w="889"/>
        <w:gridCol w:w="781"/>
        <w:gridCol w:w="903"/>
        <w:gridCol w:w="857"/>
        <w:gridCol w:w="889"/>
        <w:gridCol w:w="811"/>
      </w:tblGrid>
      <w:tr w:rsidR="00E10AB9" w:rsidRPr="006068A2" w14:paraId="4E7A1913" w14:textId="77777777" w:rsidTr="003B379E">
        <w:trPr>
          <w:trHeight w:val="325"/>
          <w:jc w:val="center"/>
        </w:trPr>
        <w:tc>
          <w:tcPr>
            <w:tcW w:w="1167" w:type="dxa"/>
            <w:vMerge w:val="restart"/>
            <w:vAlign w:val="center"/>
          </w:tcPr>
          <w:p w14:paraId="3C6F5F60" w14:textId="79E1B30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lastRenderedPageBreak/>
              <w:t>Municipio</w:t>
            </w:r>
          </w:p>
        </w:tc>
        <w:tc>
          <w:tcPr>
            <w:tcW w:w="1753" w:type="dxa"/>
            <w:gridSpan w:val="2"/>
            <w:vAlign w:val="center"/>
          </w:tcPr>
          <w:p w14:paraId="0D203B69" w14:textId="7613FDF9"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2021</w:t>
            </w:r>
          </w:p>
        </w:tc>
        <w:tc>
          <w:tcPr>
            <w:tcW w:w="1711" w:type="dxa"/>
            <w:gridSpan w:val="2"/>
            <w:vAlign w:val="center"/>
          </w:tcPr>
          <w:p w14:paraId="6796B17B" w14:textId="5E21A47C"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2022</w:t>
            </w:r>
          </w:p>
        </w:tc>
        <w:tc>
          <w:tcPr>
            <w:tcW w:w="1625" w:type="dxa"/>
            <w:gridSpan w:val="2"/>
            <w:vAlign w:val="center"/>
          </w:tcPr>
          <w:p w14:paraId="3C80220D" w14:textId="797CAF78"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2023</w:t>
            </w:r>
          </w:p>
        </w:tc>
        <w:tc>
          <w:tcPr>
            <w:tcW w:w="1880" w:type="dxa"/>
            <w:gridSpan w:val="2"/>
            <w:vAlign w:val="center"/>
          </w:tcPr>
          <w:p w14:paraId="1E1421B4" w14:textId="06D5417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2024</w:t>
            </w:r>
          </w:p>
        </w:tc>
        <w:tc>
          <w:tcPr>
            <w:tcW w:w="1672" w:type="dxa"/>
            <w:gridSpan w:val="2"/>
            <w:vAlign w:val="center"/>
          </w:tcPr>
          <w:p w14:paraId="53DD18A8" w14:textId="44ED9F25"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2025</w:t>
            </w:r>
          </w:p>
        </w:tc>
      </w:tr>
      <w:tr w:rsidR="00EF4BE6" w:rsidRPr="006068A2" w14:paraId="746F36E0" w14:textId="77777777" w:rsidTr="003B379E">
        <w:trPr>
          <w:trHeight w:val="571"/>
          <w:jc w:val="center"/>
        </w:trPr>
        <w:tc>
          <w:tcPr>
            <w:tcW w:w="1167" w:type="dxa"/>
            <w:vMerge/>
            <w:vAlign w:val="center"/>
          </w:tcPr>
          <w:p w14:paraId="757E2A18" w14:textId="77777777" w:rsidR="00201941" w:rsidRPr="006068A2" w:rsidRDefault="00201941" w:rsidP="006068A2">
            <w:pPr>
              <w:spacing w:line="360" w:lineRule="auto"/>
              <w:jc w:val="center"/>
              <w:rPr>
                <w:rFonts w:ascii="Arial" w:hAnsi="Arial" w:cs="Arial"/>
                <w:color w:val="EE0000"/>
                <w:sz w:val="22"/>
                <w:szCs w:val="22"/>
              </w:rPr>
            </w:pPr>
          </w:p>
        </w:tc>
        <w:tc>
          <w:tcPr>
            <w:tcW w:w="811" w:type="dxa"/>
            <w:vAlign w:val="center"/>
          </w:tcPr>
          <w:p w14:paraId="5E1709D2" w14:textId="77D284C0"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7B96D4C3" w:rsidRPr="006068A2">
              <w:rPr>
                <w:rFonts w:ascii="Arial" w:eastAsia="Arial" w:hAnsi="Arial" w:cs="Arial"/>
                <w:b/>
                <w:bCs/>
                <w:sz w:val="22"/>
                <w:szCs w:val="22"/>
              </w:rPr>
              <w:t>.</w:t>
            </w:r>
            <w:r w:rsidRPr="006068A2">
              <w:rPr>
                <w:rFonts w:ascii="Arial" w:eastAsia="Arial" w:hAnsi="Arial" w:cs="Arial"/>
                <w:b/>
                <w:bCs/>
                <w:sz w:val="22"/>
                <w:szCs w:val="22"/>
              </w:rPr>
              <w:t xml:space="preserve"> Subs.</w:t>
            </w:r>
          </w:p>
        </w:tc>
        <w:tc>
          <w:tcPr>
            <w:tcW w:w="942" w:type="dxa"/>
            <w:vAlign w:val="center"/>
          </w:tcPr>
          <w:p w14:paraId="3CA97372" w14:textId="2734A18A"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7DD90F54" w:rsidRPr="006068A2">
              <w:rPr>
                <w:rFonts w:ascii="Arial" w:eastAsia="Arial" w:hAnsi="Arial" w:cs="Arial"/>
                <w:b/>
                <w:bCs/>
                <w:sz w:val="22"/>
                <w:szCs w:val="22"/>
              </w:rPr>
              <w:t xml:space="preserve">. </w:t>
            </w:r>
            <w:r w:rsidRPr="006068A2">
              <w:rPr>
                <w:rFonts w:ascii="Arial" w:eastAsia="Arial" w:hAnsi="Arial" w:cs="Arial"/>
                <w:b/>
                <w:bCs/>
                <w:sz w:val="22"/>
                <w:szCs w:val="22"/>
              </w:rPr>
              <w:t>Cont</w:t>
            </w:r>
            <w:r w:rsidR="30AA3B13" w:rsidRPr="006068A2">
              <w:rPr>
                <w:rFonts w:ascii="Arial" w:eastAsia="Arial" w:hAnsi="Arial" w:cs="Arial"/>
                <w:b/>
                <w:bCs/>
                <w:sz w:val="22"/>
                <w:szCs w:val="22"/>
              </w:rPr>
              <w:t>.</w:t>
            </w:r>
          </w:p>
        </w:tc>
        <w:tc>
          <w:tcPr>
            <w:tcW w:w="869" w:type="dxa"/>
            <w:vAlign w:val="center"/>
          </w:tcPr>
          <w:p w14:paraId="298CB356" w14:textId="0DF6206A"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E84AD45"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42" w:type="dxa"/>
            <w:vAlign w:val="center"/>
          </w:tcPr>
          <w:p w14:paraId="3945D206" w14:textId="1398F214"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F1F2948"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c>
          <w:tcPr>
            <w:tcW w:w="841" w:type="dxa"/>
            <w:vAlign w:val="center"/>
          </w:tcPr>
          <w:p w14:paraId="069A4244" w14:textId="2628C57D"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w:t>
            </w:r>
            <w:r w:rsidR="6CBEDB7C" w:rsidRPr="006068A2">
              <w:rPr>
                <w:rFonts w:ascii="Arial" w:eastAsia="Arial" w:hAnsi="Arial" w:cs="Arial"/>
                <w:b/>
                <w:bCs/>
                <w:sz w:val="22"/>
                <w:szCs w:val="22"/>
              </w:rPr>
              <w:t xml:space="preserve">g. </w:t>
            </w:r>
            <w:r w:rsidRPr="006068A2">
              <w:rPr>
                <w:rFonts w:ascii="Arial" w:eastAsia="Arial" w:hAnsi="Arial" w:cs="Arial"/>
                <w:b/>
                <w:bCs/>
                <w:sz w:val="22"/>
                <w:szCs w:val="22"/>
              </w:rPr>
              <w:t xml:space="preserve"> Subs.</w:t>
            </w:r>
          </w:p>
        </w:tc>
        <w:tc>
          <w:tcPr>
            <w:tcW w:w="784" w:type="dxa"/>
            <w:vAlign w:val="center"/>
          </w:tcPr>
          <w:p w14:paraId="6772815A" w14:textId="55DA31A1"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60A86A34"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w:t>
            </w:r>
            <w:r w:rsidR="226AC6D7" w:rsidRPr="006068A2">
              <w:rPr>
                <w:rFonts w:ascii="Arial" w:eastAsia="Arial" w:hAnsi="Arial" w:cs="Arial"/>
                <w:b/>
                <w:bCs/>
                <w:sz w:val="22"/>
                <w:szCs w:val="22"/>
              </w:rPr>
              <w:t>t.</w:t>
            </w:r>
          </w:p>
        </w:tc>
        <w:tc>
          <w:tcPr>
            <w:tcW w:w="922" w:type="dxa"/>
            <w:vAlign w:val="center"/>
          </w:tcPr>
          <w:p w14:paraId="4CE6229C" w14:textId="7F5986F2"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0C34D95D"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r w:rsidR="251EE0CB" w:rsidRPr="006068A2">
              <w:rPr>
                <w:rFonts w:ascii="Arial" w:eastAsia="Arial" w:hAnsi="Arial" w:cs="Arial"/>
                <w:b/>
                <w:bCs/>
                <w:sz w:val="22"/>
                <w:szCs w:val="22"/>
              </w:rPr>
              <w:t>.</w:t>
            </w:r>
          </w:p>
        </w:tc>
        <w:tc>
          <w:tcPr>
            <w:tcW w:w="957" w:type="dxa"/>
            <w:vAlign w:val="center"/>
          </w:tcPr>
          <w:p w14:paraId="173D0B1F" w14:textId="63C3B5DE"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0C98A7D8"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Cont.</w:t>
            </w:r>
          </w:p>
        </w:tc>
        <w:tc>
          <w:tcPr>
            <w:tcW w:w="820" w:type="dxa"/>
            <w:vAlign w:val="center"/>
          </w:tcPr>
          <w:p w14:paraId="2425F842" w14:textId="40050341"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487201A2"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52" w:type="dxa"/>
            <w:vAlign w:val="center"/>
          </w:tcPr>
          <w:p w14:paraId="0B48962B" w14:textId="3F7EA002"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9D5D132"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r>
      <w:tr w:rsidR="00EF4BE6" w:rsidRPr="006068A2" w14:paraId="2791AB03" w14:textId="77777777" w:rsidTr="003B379E">
        <w:trPr>
          <w:trHeight w:val="342"/>
          <w:jc w:val="center"/>
        </w:trPr>
        <w:tc>
          <w:tcPr>
            <w:tcW w:w="1167" w:type="dxa"/>
            <w:vAlign w:val="center"/>
          </w:tcPr>
          <w:p w14:paraId="6A7ED78E" w14:textId="5347455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Soacha</w:t>
            </w:r>
          </w:p>
        </w:tc>
        <w:tc>
          <w:tcPr>
            <w:tcW w:w="811" w:type="dxa"/>
            <w:vAlign w:val="center"/>
          </w:tcPr>
          <w:p w14:paraId="7E0123E0" w14:textId="5C40335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24.235</w:t>
            </w:r>
          </w:p>
        </w:tc>
        <w:tc>
          <w:tcPr>
            <w:tcW w:w="942" w:type="dxa"/>
            <w:vAlign w:val="center"/>
          </w:tcPr>
          <w:p w14:paraId="4B1F859E" w14:textId="7991C7D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2.103</w:t>
            </w:r>
          </w:p>
        </w:tc>
        <w:tc>
          <w:tcPr>
            <w:tcW w:w="869" w:type="dxa"/>
            <w:vAlign w:val="center"/>
          </w:tcPr>
          <w:p w14:paraId="756A153D" w14:textId="7172E7B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28.401</w:t>
            </w:r>
          </w:p>
        </w:tc>
        <w:tc>
          <w:tcPr>
            <w:tcW w:w="842" w:type="dxa"/>
            <w:vAlign w:val="center"/>
          </w:tcPr>
          <w:p w14:paraId="0F961121" w14:textId="73AA8B7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1.941</w:t>
            </w:r>
          </w:p>
        </w:tc>
        <w:tc>
          <w:tcPr>
            <w:tcW w:w="841" w:type="dxa"/>
            <w:vAlign w:val="center"/>
          </w:tcPr>
          <w:p w14:paraId="7B421195" w14:textId="1C3F9BB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30.893</w:t>
            </w:r>
          </w:p>
        </w:tc>
        <w:tc>
          <w:tcPr>
            <w:tcW w:w="784" w:type="dxa"/>
            <w:vAlign w:val="center"/>
          </w:tcPr>
          <w:p w14:paraId="0653F3BD" w14:textId="123FB71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2.285</w:t>
            </w:r>
          </w:p>
        </w:tc>
        <w:tc>
          <w:tcPr>
            <w:tcW w:w="922" w:type="dxa"/>
            <w:vAlign w:val="center"/>
          </w:tcPr>
          <w:p w14:paraId="7D4EA6AF" w14:textId="75D791B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31.076</w:t>
            </w:r>
          </w:p>
        </w:tc>
        <w:tc>
          <w:tcPr>
            <w:tcW w:w="957" w:type="dxa"/>
            <w:vAlign w:val="center"/>
          </w:tcPr>
          <w:p w14:paraId="0939C661" w14:textId="598C31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2.210</w:t>
            </w:r>
          </w:p>
        </w:tc>
        <w:tc>
          <w:tcPr>
            <w:tcW w:w="820" w:type="dxa"/>
            <w:vAlign w:val="center"/>
          </w:tcPr>
          <w:p w14:paraId="68C2B7E0" w14:textId="11EF71E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30.332</w:t>
            </w:r>
          </w:p>
        </w:tc>
        <w:tc>
          <w:tcPr>
            <w:tcW w:w="852" w:type="dxa"/>
            <w:vAlign w:val="center"/>
          </w:tcPr>
          <w:p w14:paraId="0BD40F3B" w14:textId="6DBA6E9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2.403</w:t>
            </w:r>
          </w:p>
        </w:tc>
      </w:tr>
      <w:tr w:rsidR="00EF4BE6" w:rsidRPr="006068A2" w14:paraId="2AA1CDEF" w14:textId="77777777" w:rsidTr="003B379E">
        <w:trPr>
          <w:trHeight w:val="342"/>
          <w:jc w:val="center"/>
        </w:trPr>
        <w:tc>
          <w:tcPr>
            <w:tcW w:w="1167" w:type="dxa"/>
            <w:vAlign w:val="center"/>
          </w:tcPr>
          <w:p w14:paraId="17197AD7" w14:textId="54826FF4"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Chía</w:t>
            </w:r>
          </w:p>
        </w:tc>
        <w:tc>
          <w:tcPr>
            <w:tcW w:w="811" w:type="dxa"/>
            <w:vAlign w:val="center"/>
          </w:tcPr>
          <w:p w14:paraId="6C6509E3" w14:textId="7897219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w:t>
            </w:r>
          </w:p>
        </w:tc>
        <w:tc>
          <w:tcPr>
            <w:tcW w:w="942" w:type="dxa"/>
            <w:vAlign w:val="center"/>
          </w:tcPr>
          <w:p w14:paraId="020D4B16" w14:textId="6BA31A3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164</w:t>
            </w:r>
          </w:p>
        </w:tc>
        <w:tc>
          <w:tcPr>
            <w:tcW w:w="869" w:type="dxa"/>
            <w:vAlign w:val="center"/>
          </w:tcPr>
          <w:p w14:paraId="29D5D1BF" w14:textId="4CA72BE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460</w:t>
            </w:r>
          </w:p>
        </w:tc>
        <w:tc>
          <w:tcPr>
            <w:tcW w:w="842" w:type="dxa"/>
            <w:vAlign w:val="center"/>
          </w:tcPr>
          <w:p w14:paraId="47D438DA" w14:textId="3C0FABF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159</w:t>
            </w:r>
          </w:p>
        </w:tc>
        <w:tc>
          <w:tcPr>
            <w:tcW w:w="841" w:type="dxa"/>
            <w:vAlign w:val="center"/>
          </w:tcPr>
          <w:p w14:paraId="6FEA5BEC" w14:textId="45CD379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687</w:t>
            </w:r>
          </w:p>
        </w:tc>
        <w:tc>
          <w:tcPr>
            <w:tcW w:w="784" w:type="dxa"/>
            <w:vAlign w:val="center"/>
          </w:tcPr>
          <w:p w14:paraId="597EB006" w14:textId="6976592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139</w:t>
            </w:r>
          </w:p>
        </w:tc>
        <w:tc>
          <w:tcPr>
            <w:tcW w:w="922" w:type="dxa"/>
            <w:vAlign w:val="center"/>
          </w:tcPr>
          <w:p w14:paraId="2505CDA1" w14:textId="5F7541E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770</w:t>
            </w:r>
          </w:p>
        </w:tc>
        <w:tc>
          <w:tcPr>
            <w:tcW w:w="957" w:type="dxa"/>
            <w:vAlign w:val="center"/>
          </w:tcPr>
          <w:p w14:paraId="15F8CEE3" w14:textId="7B867B9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w:t>
            </w:r>
          </w:p>
        </w:tc>
        <w:tc>
          <w:tcPr>
            <w:tcW w:w="820" w:type="dxa"/>
            <w:vAlign w:val="center"/>
          </w:tcPr>
          <w:p w14:paraId="12C10BC3" w14:textId="107D3B0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890</w:t>
            </w:r>
          </w:p>
        </w:tc>
        <w:tc>
          <w:tcPr>
            <w:tcW w:w="852" w:type="dxa"/>
            <w:vAlign w:val="center"/>
          </w:tcPr>
          <w:p w14:paraId="1AE08606" w14:textId="4BD7D44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196</w:t>
            </w:r>
          </w:p>
        </w:tc>
      </w:tr>
      <w:tr w:rsidR="00EF4BE6" w:rsidRPr="006068A2" w14:paraId="48F78C0C" w14:textId="77777777" w:rsidTr="003B379E">
        <w:trPr>
          <w:trHeight w:val="342"/>
          <w:jc w:val="center"/>
        </w:trPr>
        <w:tc>
          <w:tcPr>
            <w:tcW w:w="1167" w:type="dxa"/>
            <w:vAlign w:val="center"/>
          </w:tcPr>
          <w:p w14:paraId="391D93DE" w14:textId="4822FDD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Funza</w:t>
            </w:r>
          </w:p>
        </w:tc>
        <w:tc>
          <w:tcPr>
            <w:tcW w:w="811" w:type="dxa"/>
            <w:vAlign w:val="center"/>
          </w:tcPr>
          <w:p w14:paraId="60FCCFE7" w14:textId="13FE50C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55BB8B51" w14:textId="153683B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869" w:type="dxa"/>
            <w:vAlign w:val="center"/>
          </w:tcPr>
          <w:p w14:paraId="1012CBC8" w14:textId="6640612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42" w:type="dxa"/>
            <w:vAlign w:val="center"/>
          </w:tcPr>
          <w:p w14:paraId="0B4955EB" w14:textId="739A8F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41" w:type="dxa"/>
            <w:vAlign w:val="center"/>
          </w:tcPr>
          <w:p w14:paraId="28134B68" w14:textId="3E2CB5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784" w:type="dxa"/>
            <w:vAlign w:val="center"/>
          </w:tcPr>
          <w:p w14:paraId="65EAE7B9" w14:textId="4EF6D28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922" w:type="dxa"/>
            <w:vAlign w:val="center"/>
          </w:tcPr>
          <w:p w14:paraId="58259F55" w14:textId="5812ADC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57" w:type="dxa"/>
            <w:vAlign w:val="center"/>
          </w:tcPr>
          <w:p w14:paraId="329614F9" w14:textId="2C5E1A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1E877A2" w14:textId="6BF0B73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3D07262" w14:textId="313AE46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4B09C46B" w14:textId="77777777" w:rsidTr="003B379E">
        <w:trPr>
          <w:trHeight w:val="342"/>
          <w:jc w:val="center"/>
        </w:trPr>
        <w:tc>
          <w:tcPr>
            <w:tcW w:w="1167" w:type="dxa"/>
            <w:vAlign w:val="center"/>
          </w:tcPr>
          <w:p w14:paraId="75C82CC3" w14:textId="3D7F8F39"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Mosquera</w:t>
            </w:r>
          </w:p>
        </w:tc>
        <w:tc>
          <w:tcPr>
            <w:tcW w:w="811" w:type="dxa"/>
            <w:vAlign w:val="center"/>
          </w:tcPr>
          <w:p w14:paraId="098AF202" w14:textId="37FE426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w:t>
            </w:r>
          </w:p>
        </w:tc>
        <w:tc>
          <w:tcPr>
            <w:tcW w:w="942" w:type="dxa"/>
            <w:vAlign w:val="center"/>
          </w:tcPr>
          <w:p w14:paraId="69B9ABA7" w14:textId="42D0DE2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162</w:t>
            </w:r>
          </w:p>
        </w:tc>
        <w:tc>
          <w:tcPr>
            <w:tcW w:w="869" w:type="dxa"/>
            <w:vAlign w:val="center"/>
          </w:tcPr>
          <w:p w14:paraId="083D3D90" w14:textId="31BC8B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1.126</w:t>
            </w:r>
          </w:p>
        </w:tc>
        <w:tc>
          <w:tcPr>
            <w:tcW w:w="842" w:type="dxa"/>
            <w:vAlign w:val="center"/>
          </w:tcPr>
          <w:p w14:paraId="344B8224" w14:textId="2A7E387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219</w:t>
            </w:r>
          </w:p>
        </w:tc>
        <w:tc>
          <w:tcPr>
            <w:tcW w:w="841" w:type="dxa"/>
            <w:vAlign w:val="center"/>
          </w:tcPr>
          <w:p w14:paraId="001D07EC" w14:textId="0A6D582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1.896</w:t>
            </w:r>
          </w:p>
        </w:tc>
        <w:tc>
          <w:tcPr>
            <w:tcW w:w="784" w:type="dxa"/>
            <w:vAlign w:val="center"/>
          </w:tcPr>
          <w:p w14:paraId="18541163" w14:textId="1F741E7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277</w:t>
            </w:r>
          </w:p>
        </w:tc>
        <w:tc>
          <w:tcPr>
            <w:tcW w:w="922" w:type="dxa"/>
            <w:vAlign w:val="center"/>
          </w:tcPr>
          <w:p w14:paraId="0392F13E" w14:textId="5B65EA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2.341</w:t>
            </w:r>
          </w:p>
        </w:tc>
        <w:tc>
          <w:tcPr>
            <w:tcW w:w="957" w:type="dxa"/>
            <w:vAlign w:val="center"/>
          </w:tcPr>
          <w:p w14:paraId="24DCD1BC" w14:textId="2BE4B70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300</w:t>
            </w:r>
          </w:p>
        </w:tc>
        <w:tc>
          <w:tcPr>
            <w:tcW w:w="820" w:type="dxa"/>
            <w:vAlign w:val="center"/>
          </w:tcPr>
          <w:p w14:paraId="73439C87" w14:textId="0746B9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2.281</w:t>
            </w:r>
          </w:p>
        </w:tc>
        <w:tc>
          <w:tcPr>
            <w:tcW w:w="852" w:type="dxa"/>
            <w:vAlign w:val="center"/>
          </w:tcPr>
          <w:p w14:paraId="17AC2AF2" w14:textId="54A6F2F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312</w:t>
            </w:r>
          </w:p>
        </w:tc>
      </w:tr>
      <w:tr w:rsidR="00EF4BE6" w:rsidRPr="006068A2" w14:paraId="04B36A07" w14:textId="77777777" w:rsidTr="003B379E">
        <w:trPr>
          <w:trHeight w:val="342"/>
          <w:jc w:val="center"/>
        </w:trPr>
        <w:tc>
          <w:tcPr>
            <w:tcW w:w="1167" w:type="dxa"/>
            <w:vAlign w:val="center"/>
          </w:tcPr>
          <w:p w14:paraId="0FD1568D" w14:textId="47EF7821"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Madrid</w:t>
            </w:r>
          </w:p>
        </w:tc>
        <w:tc>
          <w:tcPr>
            <w:tcW w:w="811" w:type="dxa"/>
            <w:vAlign w:val="center"/>
          </w:tcPr>
          <w:p w14:paraId="5E1600F4" w14:textId="49A1B0E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62537B9D" w14:textId="55A1B6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69" w:type="dxa"/>
            <w:vAlign w:val="center"/>
          </w:tcPr>
          <w:p w14:paraId="0777E0BB" w14:textId="5294E9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w:t>
            </w:r>
          </w:p>
        </w:tc>
        <w:tc>
          <w:tcPr>
            <w:tcW w:w="842" w:type="dxa"/>
            <w:vAlign w:val="center"/>
          </w:tcPr>
          <w:p w14:paraId="39C94414" w14:textId="69EE1D0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841" w:type="dxa"/>
            <w:vAlign w:val="center"/>
          </w:tcPr>
          <w:p w14:paraId="42FC1FE6" w14:textId="4C59CEB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w:t>
            </w:r>
          </w:p>
        </w:tc>
        <w:tc>
          <w:tcPr>
            <w:tcW w:w="784" w:type="dxa"/>
            <w:vAlign w:val="center"/>
          </w:tcPr>
          <w:p w14:paraId="3B40D7B9" w14:textId="5FB534F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w:t>
            </w:r>
          </w:p>
        </w:tc>
        <w:tc>
          <w:tcPr>
            <w:tcW w:w="922" w:type="dxa"/>
            <w:vAlign w:val="center"/>
          </w:tcPr>
          <w:p w14:paraId="306149C2" w14:textId="1EDB1D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957" w:type="dxa"/>
            <w:vAlign w:val="center"/>
          </w:tcPr>
          <w:p w14:paraId="73ED1D58" w14:textId="2E6E6A4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7DAF07B" w14:textId="5DA9652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62FA005" w14:textId="4DE1438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6111B497" w14:textId="77777777" w:rsidTr="003B379E">
        <w:trPr>
          <w:trHeight w:val="342"/>
          <w:jc w:val="center"/>
        </w:trPr>
        <w:tc>
          <w:tcPr>
            <w:tcW w:w="1167" w:type="dxa"/>
            <w:vAlign w:val="center"/>
          </w:tcPr>
          <w:p w14:paraId="7926A114" w14:textId="1B927E79" w:rsidR="27918249" w:rsidRPr="006068A2" w:rsidRDefault="27918249"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xml:space="preserve">Total </w:t>
            </w:r>
          </w:p>
        </w:tc>
        <w:tc>
          <w:tcPr>
            <w:tcW w:w="811" w:type="dxa"/>
            <w:vAlign w:val="center"/>
          </w:tcPr>
          <w:p w14:paraId="4187E385" w14:textId="070DFA34"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24.523</w:t>
            </w:r>
          </w:p>
        </w:tc>
        <w:tc>
          <w:tcPr>
            <w:tcW w:w="942" w:type="dxa"/>
            <w:vAlign w:val="center"/>
          </w:tcPr>
          <w:p w14:paraId="24CA2784" w14:textId="6A5CD84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2.434</w:t>
            </w:r>
          </w:p>
        </w:tc>
        <w:tc>
          <w:tcPr>
            <w:tcW w:w="869" w:type="dxa"/>
            <w:vAlign w:val="center"/>
          </w:tcPr>
          <w:p w14:paraId="22912F17" w14:textId="021F7AF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29.998</w:t>
            </w:r>
          </w:p>
        </w:tc>
        <w:tc>
          <w:tcPr>
            <w:tcW w:w="842" w:type="dxa"/>
            <w:vAlign w:val="center"/>
          </w:tcPr>
          <w:p w14:paraId="292803EE" w14:textId="3778204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2.321</w:t>
            </w:r>
          </w:p>
        </w:tc>
        <w:tc>
          <w:tcPr>
            <w:tcW w:w="841" w:type="dxa"/>
            <w:vAlign w:val="center"/>
          </w:tcPr>
          <w:p w14:paraId="05C7CD23" w14:textId="798DFDA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33.481</w:t>
            </w:r>
          </w:p>
        </w:tc>
        <w:tc>
          <w:tcPr>
            <w:tcW w:w="784" w:type="dxa"/>
            <w:vAlign w:val="center"/>
          </w:tcPr>
          <w:p w14:paraId="41A244AF" w14:textId="4BCB7032"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2.705</w:t>
            </w:r>
          </w:p>
        </w:tc>
        <w:tc>
          <w:tcPr>
            <w:tcW w:w="922" w:type="dxa"/>
            <w:vAlign w:val="center"/>
          </w:tcPr>
          <w:p w14:paraId="5DFD1CFE" w14:textId="5AFAF92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34.189</w:t>
            </w:r>
          </w:p>
        </w:tc>
        <w:tc>
          <w:tcPr>
            <w:tcW w:w="957" w:type="dxa"/>
            <w:vAlign w:val="center"/>
          </w:tcPr>
          <w:p w14:paraId="447C5884" w14:textId="1141F6C0"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2.671</w:t>
            </w:r>
          </w:p>
        </w:tc>
        <w:tc>
          <w:tcPr>
            <w:tcW w:w="820" w:type="dxa"/>
            <w:vAlign w:val="center"/>
          </w:tcPr>
          <w:p w14:paraId="42042506" w14:textId="6C19116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33.503</w:t>
            </w:r>
          </w:p>
        </w:tc>
        <w:tc>
          <w:tcPr>
            <w:tcW w:w="852" w:type="dxa"/>
            <w:vAlign w:val="center"/>
          </w:tcPr>
          <w:p w14:paraId="54329567" w14:textId="7B7DAA93"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2.913</w:t>
            </w:r>
          </w:p>
        </w:tc>
      </w:tr>
    </w:tbl>
    <w:p w14:paraId="7225A1FE" w14:textId="5E6D7E29" w:rsidR="22DD496F" w:rsidRDefault="22DD496F" w:rsidP="006068A2">
      <w:pPr>
        <w:spacing w:line="360" w:lineRule="auto"/>
        <w:jc w:val="both"/>
        <w:rPr>
          <w:rFonts w:ascii="Arial" w:eastAsia="Arial" w:hAnsi="Arial" w:cs="Arial"/>
          <w:sz w:val="16"/>
          <w:szCs w:val="16"/>
        </w:rPr>
      </w:pPr>
      <w:r w:rsidRPr="000B4925">
        <w:rPr>
          <w:rFonts w:ascii="Arial" w:eastAsia="Arial" w:hAnsi="Arial" w:cs="Arial"/>
          <w:sz w:val="16"/>
          <w:szCs w:val="16"/>
        </w:rPr>
        <w:t xml:space="preserve">Fuentes: Ministerio de Salud y Protección Social. Cifras de afiliación en salud, corte a 31-12-2025. </w:t>
      </w:r>
      <w:hyperlink r:id="rId24" w:history="1">
        <w:r w:rsidR="000B4925" w:rsidRPr="008F0BB9">
          <w:rPr>
            <w:rStyle w:val="Hipervnculo"/>
            <w:rFonts w:ascii="Arial" w:eastAsia="Arial" w:hAnsi="Arial" w:cs="Arial"/>
            <w:sz w:val="16"/>
            <w:szCs w:val="16"/>
          </w:rPr>
          <w:t>https://public.tableau.com/app/profile/minsaludcol/viz/CifrasAseguramientoenSalud_16166927767750/Aseguramiento</w:t>
        </w:r>
      </w:hyperlink>
    </w:p>
    <w:p w14:paraId="00846499" w14:textId="553C34A1" w:rsidR="7551437A" w:rsidRPr="006068A2" w:rsidRDefault="7551437A" w:rsidP="006068A2">
      <w:pPr>
        <w:spacing w:line="360" w:lineRule="auto"/>
        <w:jc w:val="both"/>
        <w:rPr>
          <w:rFonts w:ascii="Arial" w:eastAsia="Arial" w:hAnsi="Arial" w:cs="Arial"/>
          <w:sz w:val="22"/>
          <w:szCs w:val="22"/>
        </w:rPr>
      </w:pPr>
    </w:p>
    <w:p w14:paraId="779DCE84" w14:textId="704CED24" w:rsidR="4E2C6BD8" w:rsidRPr="006068A2" w:rsidRDefault="4E2C6BD8"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De lo anteriormente expuesto, se observa que los municipios próximos a Bogotá D.C. a corte diciembre de 2025 contaban con </w:t>
      </w:r>
      <w:r w:rsidR="0EF3363F" w:rsidRPr="006068A2">
        <w:rPr>
          <w:rFonts w:ascii="Arial" w:eastAsia="Arial" w:hAnsi="Arial" w:cs="Arial"/>
          <w:sz w:val="22"/>
          <w:szCs w:val="22"/>
        </w:rPr>
        <w:t>36.416</w:t>
      </w:r>
      <w:r w:rsidRPr="006068A2">
        <w:rPr>
          <w:rFonts w:ascii="Arial" w:eastAsia="Arial" w:hAnsi="Arial" w:cs="Arial"/>
          <w:sz w:val="22"/>
          <w:szCs w:val="22"/>
        </w:rPr>
        <w:t xml:space="preserve"> usuarios de los cuales </w:t>
      </w:r>
      <w:r w:rsidR="6B6DF735" w:rsidRPr="006068A2">
        <w:rPr>
          <w:rFonts w:ascii="Arial" w:eastAsia="Arial" w:hAnsi="Arial" w:cs="Arial"/>
          <w:sz w:val="22"/>
          <w:szCs w:val="22"/>
        </w:rPr>
        <w:t>92</w:t>
      </w:r>
      <w:r w:rsidR="35ECCD9D" w:rsidRPr="006068A2">
        <w:rPr>
          <w:rFonts w:ascii="Arial" w:eastAsia="Arial" w:hAnsi="Arial" w:cs="Arial"/>
          <w:sz w:val="22"/>
          <w:szCs w:val="22"/>
        </w:rPr>
        <w:t>,</w:t>
      </w:r>
      <w:r w:rsidR="5BADD96D" w:rsidRPr="006068A2">
        <w:rPr>
          <w:rFonts w:ascii="Arial" w:eastAsia="Arial" w:hAnsi="Arial" w:cs="Arial"/>
          <w:sz w:val="22"/>
          <w:szCs w:val="22"/>
        </w:rPr>
        <w:t>00</w:t>
      </w:r>
      <w:r w:rsidRPr="006068A2">
        <w:rPr>
          <w:rFonts w:ascii="Arial" w:eastAsia="Arial" w:hAnsi="Arial" w:cs="Arial"/>
          <w:sz w:val="22"/>
          <w:szCs w:val="22"/>
        </w:rPr>
        <w:t xml:space="preserve">% corresponden al régimen </w:t>
      </w:r>
      <w:r w:rsidR="0F3A8CBE" w:rsidRPr="006068A2">
        <w:rPr>
          <w:rFonts w:ascii="Arial" w:eastAsia="Arial" w:hAnsi="Arial" w:cs="Arial"/>
          <w:sz w:val="22"/>
          <w:szCs w:val="22"/>
        </w:rPr>
        <w:t xml:space="preserve">subsidiado </w:t>
      </w:r>
      <w:r w:rsidRPr="006068A2">
        <w:rPr>
          <w:rFonts w:ascii="Arial" w:eastAsia="Arial" w:hAnsi="Arial" w:cs="Arial"/>
          <w:sz w:val="22"/>
          <w:szCs w:val="22"/>
        </w:rPr>
        <w:t xml:space="preserve">y el </w:t>
      </w:r>
      <w:r w:rsidR="73188B9A" w:rsidRPr="006068A2">
        <w:rPr>
          <w:rFonts w:ascii="Arial" w:eastAsia="Arial" w:hAnsi="Arial" w:cs="Arial"/>
          <w:sz w:val="22"/>
          <w:szCs w:val="22"/>
        </w:rPr>
        <w:t>8</w:t>
      </w:r>
      <w:r w:rsidR="526DF865" w:rsidRPr="006068A2">
        <w:rPr>
          <w:rFonts w:ascii="Arial" w:eastAsia="Arial" w:hAnsi="Arial" w:cs="Arial"/>
          <w:sz w:val="22"/>
          <w:szCs w:val="22"/>
        </w:rPr>
        <w:t>,00</w:t>
      </w:r>
      <w:r w:rsidRPr="006068A2">
        <w:rPr>
          <w:rFonts w:ascii="Arial" w:eastAsia="Arial" w:hAnsi="Arial" w:cs="Arial"/>
          <w:sz w:val="22"/>
          <w:szCs w:val="22"/>
        </w:rPr>
        <w:t xml:space="preserve">% al </w:t>
      </w:r>
      <w:r w:rsidR="37F81675" w:rsidRPr="006068A2">
        <w:rPr>
          <w:rFonts w:ascii="Arial" w:eastAsia="Arial" w:hAnsi="Arial" w:cs="Arial"/>
          <w:sz w:val="22"/>
          <w:szCs w:val="22"/>
        </w:rPr>
        <w:t>contributivo</w:t>
      </w:r>
      <w:r w:rsidRPr="006068A2">
        <w:rPr>
          <w:rFonts w:ascii="Arial" w:eastAsia="Arial" w:hAnsi="Arial" w:cs="Arial"/>
          <w:sz w:val="22"/>
          <w:szCs w:val="22"/>
        </w:rPr>
        <w:t xml:space="preserve">. Igualmente, se subraya que desde diciembre de 2021 a 2025 la población afiliada en los </w:t>
      </w:r>
      <w:r w:rsidR="002752D2">
        <w:rPr>
          <w:rFonts w:ascii="Arial" w:eastAsia="Arial" w:hAnsi="Arial" w:cs="Arial"/>
          <w:sz w:val="22"/>
          <w:szCs w:val="22"/>
        </w:rPr>
        <w:t xml:space="preserve">cinco </w:t>
      </w:r>
      <w:r w:rsidRPr="006068A2">
        <w:rPr>
          <w:rFonts w:ascii="Arial" w:eastAsia="Arial" w:hAnsi="Arial" w:cs="Arial"/>
          <w:sz w:val="22"/>
          <w:szCs w:val="22"/>
        </w:rPr>
        <w:t xml:space="preserve">municipios referenciados </w:t>
      </w:r>
      <w:r w:rsidR="4228A0DE" w:rsidRPr="006068A2">
        <w:rPr>
          <w:rFonts w:ascii="Arial" w:eastAsia="Arial" w:hAnsi="Arial" w:cs="Arial"/>
          <w:sz w:val="22"/>
          <w:szCs w:val="22"/>
        </w:rPr>
        <w:t>el</w:t>
      </w:r>
      <w:r w:rsidR="5FCFA093" w:rsidRPr="006068A2">
        <w:rPr>
          <w:rFonts w:ascii="Arial" w:eastAsia="Arial" w:hAnsi="Arial" w:cs="Arial"/>
          <w:sz w:val="22"/>
          <w:szCs w:val="22"/>
        </w:rPr>
        <w:t xml:space="preserve"> incremento total </w:t>
      </w:r>
      <w:r w:rsidR="2B73CCF1" w:rsidRPr="006068A2">
        <w:rPr>
          <w:rFonts w:ascii="Arial" w:eastAsia="Arial" w:hAnsi="Arial" w:cs="Arial"/>
          <w:sz w:val="22"/>
          <w:szCs w:val="22"/>
        </w:rPr>
        <w:t xml:space="preserve">fue del </w:t>
      </w:r>
      <w:r w:rsidR="3D1EAA92" w:rsidRPr="006068A2">
        <w:rPr>
          <w:rFonts w:ascii="Arial" w:eastAsia="Arial" w:hAnsi="Arial" w:cs="Arial"/>
          <w:sz w:val="22"/>
          <w:szCs w:val="22"/>
        </w:rPr>
        <w:t>35</w:t>
      </w:r>
      <w:r w:rsidRPr="006068A2">
        <w:rPr>
          <w:rFonts w:ascii="Arial" w:eastAsia="Arial" w:hAnsi="Arial" w:cs="Arial"/>
          <w:sz w:val="22"/>
          <w:szCs w:val="22"/>
        </w:rPr>
        <w:t>.</w:t>
      </w:r>
      <w:r w:rsidR="2CEEC5A6" w:rsidRPr="006068A2">
        <w:rPr>
          <w:rFonts w:ascii="Arial" w:eastAsia="Arial" w:hAnsi="Arial" w:cs="Arial"/>
          <w:sz w:val="22"/>
          <w:szCs w:val="22"/>
        </w:rPr>
        <w:t>08</w:t>
      </w:r>
      <w:r w:rsidRPr="006068A2">
        <w:rPr>
          <w:rFonts w:ascii="Arial" w:eastAsia="Arial" w:hAnsi="Arial" w:cs="Arial"/>
          <w:sz w:val="22"/>
          <w:szCs w:val="22"/>
        </w:rPr>
        <w:t>%.</w:t>
      </w:r>
    </w:p>
    <w:p w14:paraId="72038DB1" w14:textId="16B8EA6F" w:rsidR="7551437A" w:rsidRPr="006068A2" w:rsidRDefault="7551437A" w:rsidP="006068A2">
      <w:pPr>
        <w:spacing w:line="360" w:lineRule="auto"/>
        <w:jc w:val="both"/>
        <w:rPr>
          <w:rFonts w:ascii="Arial" w:eastAsia="Arial" w:hAnsi="Arial" w:cs="Arial"/>
          <w:sz w:val="22"/>
          <w:szCs w:val="22"/>
        </w:rPr>
      </w:pPr>
    </w:p>
    <w:p w14:paraId="63A54B41" w14:textId="0DD41430" w:rsidR="348BA29B" w:rsidRPr="006068A2" w:rsidRDefault="348BA29B"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Lo anterior en relación con la atención en Bogotá y </w:t>
      </w:r>
      <w:r w:rsidR="0D8BF98E" w:rsidRPr="006068A2">
        <w:rPr>
          <w:rFonts w:ascii="Arial" w:eastAsia="Arial" w:hAnsi="Arial" w:cs="Arial"/>
          <w:sz w:val="22"/>
          <w:szCs w:val="22"/>
        </w:rPr>
        <w:t>COOSALUD</w:t>
      </w:r>
      <w:r w:rsidRPr="006068A2">
        <w:rPr>
          <w:rFonts w:ascii="Arial" w:eastAsia="Arial" w:hAnsi="Arial" w:cs="Arial"/>
          <w:sz w:val="22"/>
          <w:szCs w:val="22"/>
        </w:rPr>
        <w:t xml:space="preserve"> EPS este patrón sugiere una presión relevante sobre la red de prestación en el entorno de Bogotá, especialmente por la magnitud de afiliados en Soacha y el crecimiento en los dos regímenes durante el </w:t>
      </w:r>
      <w:r w:rsidR="2F29A142" w:rsidRPr="006068A2">
        <w:rPr>
          <w:rFonts w:ascii="Arial" w:eastAsia="Arial" w:hAnsi="Arial" w:cs="Arial"/>
          <w:sz w:val="22"/>
          <w:szCs w:val="22"/>
        </w:rPr>
        <w:t>lapso</w:t>
      </w:r>
      <w:r w:rsidRPr="006068A2">
        <w:rPr>
          <w:rFonts w:ascii="Arial" w:eastAsia="Arial" w:hAnsi="Arial" w:cs="Arial"/>
          <w:sz w:val="22"/>
          <w:szCs w:val="22"/>
        </w:rPr>
        <w:t xml:space="preserve"> relacionado en la tabl</w:t>
      </w:r>
      <w:r w:rsidR="7A953C5E" w:rsidRPr="006068A2">
        <w:rPr>
          <w:rFonts w:ascii="Arial" w:eastAsia="Arial" w:hAnsi="Arial" w:cs="Arial"/>
          <w:sz w:val="22"/>
          <w:szCs w:val="22"/>
        </w:rPr>
        <w:t>a</w:t>
      </w:r>
      <w:r w:rsidRPr="006068A2">
        <w:rPr>
          <w:rFonts w:ascii="Arial" w:eastAsia="Arial" w:hAnsi="Arial" w:cs="Arial"/>
          <w:sz w:val="22"/>
          <w:szCs w:val="22"/>
        </w:rPr>
        <w:t xml:space="preserve"> anterior, esto </w:t>
      </w:r>
      <w:r w:rsidR="660E7615" w:rsidRPr="006068A2">
        <w:rPr>
          <w:rFonts w:ascii="Arial" w:eastAsia="Arial" w:hAnsi="Arial" w:cs="Arial"/>
          <w:sz w:val="22"/>
          <w:szCs w:val="22"/>
        </w:rPr>
        <w:t>es más</w:t>
      </w:r>
      <w:r w:rsidRPr="006068A2">
        <w:rPr>
          <w:rFonts w:ascii="Arial" w:eastAsia="Arial" w:hAnsi="Arial" w:cs="Arial"/>
          <w:sz w:val="22"/>
          <w:szCs w:val="22"/>
        </w:rPr>
        <w:t xml:space="preserve"> demanda potencial de servicios y gestión del riesgo. Para </w:t>
      </w:r>
      <w:r w:rsidR="53A37AD7" w:rsidRPr="006068A2">
        <w:rPr>
          <w:rFonts w:ascii="Arial" w:eastAsia="Arial" w:hAnsi="Arial" w:cs="Arial"/>
          <w:sz w:val="22"/>
          <w:szCs w:val="22"/>
        </w:rPr>
        <w:t>Coosalud</w:t>
      </w:r>
      <w:r w:rsidR="7A930BB9" w:rsidRPr="006068A2">
        <w:rPr>
          <w:rFonts w:ascii="Arial" w:eastAsia="Arial" w:hAnsi="Arial" w:cs="Arial"/>
          <w:sz w:val="22"/>
          <w:szCs w:val="22"/>
        </w:rPr>
        <w:t xml:space="preserve"> EPS</w:t>
      </w:r>
      <w:r w:rsidRPr="006068A2">
        <w:rPr>
          <w:rFonts w:ascii="Arial" w:eastAsia="Arial" w:hAnsi="Arial" w:cs="Arial"/>
          <w:sz w:val="22"/>
          <w:szCs w:val="22"/>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5289CEF1" w14:textId="77777777" w:rsidR="0001359C" w:rsidRPr="006068A2" w:rsidRDefault="0001359C" w:rsidP="006068A2">
      <w:pPr>
        <w:spacing w:line="360" w:lineRule="auto"/>
        <w:jc w:val="both"/>
        <w:rPr>
          <w:rFonts w:ascii="Arial" w:eastAsia="Arial" w:hAnsi="Arial" w:cs="Arial"/>
          <w:sz w:val="22"/>
          <w:szCs w:val="22"/>
        </w:rPr>
      </w:pPr>
    </w:p>
    <w:p w14:paraId="4C57DA46" w14:textId="58BCAD59"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12" w:name="_Toc229397831"/>
      <w:r w:rsidRPr="006068A2">
        <w:rPr>
          <w:rFonts w:ascii="Arial" w:hAnsi="Arial" w:cs="Arial"/>
          <w:b/>
          <w:bCs/>
          <w:color w:val="auto"/>
          <w:sz w:val="22"/>
          <w:szCs w:val="22"/>
        </w:rPr>
        <w:t>Relación EPS – Ciudad</w:t>
      </w:r>
      <w:bookmarkEnd w:id="12"/>
      <w:r w:rsidR="3C3D1622" w:rsidRPr="006068A2">
        <w:rPr>
          <w:rFonts w:ascii="Arial" w:hAnsi="Arial" w:cs="Arial"/>
          <w:b/>
          <w:bCs/>
          <w:color w:val="auto"/>
          <w:sz w:val="22"/>
          <w:szCs w:val="22"/>
        </w:rPr>
        <w:t xml:space="preserve"> </w:t>
      </w:r>
    </w:p>
    <w:p w14:paraId="45FE804F" w14:textId="77777777" w:rsidR="00B231D9" w:rsidRDefault="00B231D9" w:rsidP="00DD0ABD">
      <w:pPr>
        <w:spacing w:line="360" w:lineRule="auto"/>
        <w:jc w:val="both"/>
        <w:rPr>
          <w:rFonts w:ascii="Arial" w:hAnsi="Arial" w:cs="Arial"/>
          <w:sz w:val="22"/>
          <w:szCs w:val="22"/>
        </w:rPr>
      </w:pPr>
      <w:bookmarkStart w:id="13" w:name="_Hlk224815064"/>
    </w:p>
    <w:p w14:paraId="14A3BAFF" w14:textId="12258F7E" w:rsidR="00DD0ABD" w:rsidRPr="00DD0ABD"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Bogotá constituye un territorio relevante para el seguimiento de la operación de COOSALUD EPS, no tanto por su peso dentro del total nacional de afiliados de la entidad, sino por las implicaciones que su desempeño tiene sobre la garantía del acceso efectivo a los servicios de salud en el Distrito Capital, la articulación de su red prestadora y la </w:t>
      </w:r>
      <w:r w:rsidRPr="00DD0ABD">
        <w:rPr>
          <w:rFonts w:ascii="Arial" w:hAnsi="Arial" w:cs="Arial"/>
          <w:sz w:val="22"/>
          <w:szCs w:val="22"/>
        </w:rPr>
        <w:lastRenderedPageBreak/>
        <w:t>capacidad de respuesta institucional frente a las necesidades de la población afiliada. En este sentido, aunque la participación de la EPS en el aseguramiento de la ciudad es reducida, su operación en Bogotá sigue siendo de interés para el análisis territorial, especialmente por los efectos que eventuales fallas en el aseguramiento pueden tener sobre la continuidad de la atención, la gestión del riesgo y la oportunidad en la prestación de servicios.</w:t>
      </w:r>
    </w:p>
    <w:p w14:paraId="68498CF8" w14:textId="77777777" w:rsidR="00DD0ABD" w:rsidRPr="00DD0ABD" w:rsidRDefault="00DD0ABD" w:rsidP="00DD0ABD">
      <w:pPr>
        <w:spacing w:line="360" w:lineRule="auto"/>
        <w:jc w:val="both"/>
        <w:rPr>
          <w:rFonts w:ascii="Arial" w:hAnsi="Arial" w:cs="Arial"/>
          <w:sz w:val="22"/>
          <w:szCs w:val="22"/>
        </w:rPr>
      </w:pPr>
    </w:p>
    <w:p w14:paraId="686213AC" w14:textId="2B2AD7A4" w:rsidR="00F81D98"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De acuerdo con cifras del Ministerio de Salud y Protección Social, con corte a 31 de diciembre de 2025, COOSALUD EPS registró 3.357.788 afiliados a nivel nacional, de los cuales 336.189 correspondieron al régimen contributivo y 3.021.599 al régimen subsidiado. Para Bogotá D. C., la entidad reportó un total de 34.472 afiliados, distribuidos en 27.470 en el régimen </w:t>
      </w:r>
      <w:r w:rsidR="00667228">
        <w:rPr>
          <w:rFonts w:ascii="Arial" w:hAnsi="Arial" w:cs="Arial"/>
          <w:sz w:val="22"/>
          <w:szCs w:val="22"/>
        </w:rPr>
        <w:t xml:space="preserve">subsidiado </w:t>
      </w:r>
      <w:r w:rsidRPr="00DD0ABD">
        <w:rPr>
          <w:rFonts w:ascii="Arial" w:hAnsi="Arial" w:cs="Arial"/>
          <w:sz w:val="22"/>
          <w:szCs w:val="22"/>
        </w:rPr>
        <w:t xml:space="preserve">y 7.002 en el régimen </w:t>
      </w:r>
      <w:r w:rsidR="00BB55B7">
        <w:rPr>
          <w:rFonts w:ascii="Arial" w:hAnsi="Arial" w:cs="Arial"/>
          <w:sz w:val="22"/>
          <w:szCs w:val="22"/>
        </w:rPr>
        <w:t>contributivo</w:t>
      </w:r>
      <w:r w:rsidRPr="00DD0ABD">
        <w:rPr>
          <w:rFonts w:ascii="Arial" w:hAnsi="Arial" w:cs="Arial"/>
          <w:sz w:val="22"/>
          <w:szCs w:val="22"/>
        </w:rPr>
        <w:t>. Esta distribución permite advertir que, aunque la participación de Bogotá dentro del total nacional de afiliados de COOSALUD EPS es baja, existen diferencias relevantes cuando se analiza su peso relativo por régimen.</w:t>
      </w:r>
    </w:p>
    <w:p w14:paraId="568CCDCA" w14:textId="77777777" w:rsidR="00DD0ABD" w:rsidRPr="006068A2" w:rsidRDefault="00DD0ABD" w:rsidP="00DD0ABD">
      <w:pPr>
        <w:spacing w:line="360" w:lineRule="auto"/>
        <w:jc w:val="both"/>
        <w:rPr>
          <w:rFonts w:ascii="Arial" w:hAnsi="Arial" w:cs="Arial"/>
          <w:sz w:val="22"/>
          <w:szCs w:val="22"/>
        </w:rPr>
      </w:pPr>
    </w:p>
    <w:p w14:paraId="1599932A" w14:textId="07ECBFF2"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4" w:name="_Toc229395862"/>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5</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Participación de los afiliados de Coosalud de Bogotá D.C en la afiliación nacional de Coosalud EPSS a </w:t>
      </w:r>
      <w:r w:rsidR="002355F9">
        <w:rPr>
          <w:rFonts w:ascii="Arial" w:hAnsi="Arial" w:cs="Arial"/>
          <w:i w:val="0"/>
          <w:iCs w:val="0"/>
          <w:color w:val="auto"/>
          <w:sz w:val="22"/>
          <w:szCs w:val="22"/>
        </w:rPr>
        <w:t xml:space="preserve">31 de </w:t>
      </w:r>
      <w:r w:rsidRPr="006068A2">
        <w:rPr>
          <w:rFonts w:ascii="Arial" w:hAnsi="Arial" w:cs="Arial"/>
          <w:i w:val="0"/>
          <w:iCs w:val="0"/>
          <w:color w:val="auto"/>
          <w:sz w:val="22"/>
          <w:szCs w:val="22"/>
        </w:rPr>
        <w:t>diciembre</w:t>
      </w:r>
      <w:r w:rsidR="002355F9">
        <w:rPr>
          <w:rFonts w:ascii="Arial" w:hAnsi="Arial" w:cs="Arial"/>
          <w:i w:val="0"/>
          <w:iCs w:val="0"/>
          <w:color w:val="auto"/>
          <w:sz w:val="22"/>
          <w:szCs w:val="22"/>
        </w:rPr>
        <w:t xml:space="preserve"> </w:t>
      </w:r>
      <w:r w:rsidRPr="006068A2">
        <w:rPr>
          <w:rFonts w:ascii="Arial" w:hAnsi="Arial" w:cs="Arial"/>
          <w:i w:val="0"/>
          <w:iCs w:val="0"/>
          <w:color w:val="auto"/>
          <w:sz w:val="22"/>
          <w:szCs w:val="22"/>
        </w:rPr>
        <w:t>de 202</w:t>
      </w:r>
      <w:r w:rsidR="008F4BE8">
        <w:rPr>
          <w:rFonts w:ascii="Arial" w:hAnsi="Arial" w:cs="Arial"/>
          <w:i w:val="0"/>
          <w:iCs w:val="0"/>
          <w:color w:val="auto"/>
          <w:sz w:val="22"/>
          <w:szCs w:val="22"/>
        </w:rPr>
        <w:t>5</w:t>
      </w:r>
      <w:bookmarkEnd w:id="14"/>
    </w:p>
    <w:p w14:paraId="7DF9BBE4" w14:textId="77777777" w:rsidR="003138D1" w:rsidRPr="006068A2" w:rsidRDefault="003138D1" w:rsidP="006068A2">
      <w:pPr>
        <w:spacing w:line="360" w:lineRule="auto"/>
        <w:rPr>
          <w:rFonts w:ascii="Arial" w:hAnsi="Arial" w:cs="Arial"/>
          <w:sz w:val="22"/>
          <w:szCs w:val="22"/>
        </w:rPr>
      </w:pPr>
    </w:p>
    <w:tbl>
      <w:tblPr>
        <w:tblStyle w:val="Tablaconcuadrcula"/>
        <w:tblW w:w="9054" w:type="dxa"/>
        <w:tblLook w:val="04A0" w:firstRow="1" w:lastRow="0" w:firstColumn="1" w:lastColumn="0" w:noHBand="0" w:noVBand="1"/>
      </w:tblPr>
      <w:tblGrid>
        <w:gridCol w:w="2424"/>
        <w:gridCol w:w="1963"/>
        <w:gridCol w:w="2091"/>
        <w:gridCol w:w="2576"/>
      </w:tblGrid>
      <w:tr w:rsidR="00F81D98" w:rsidRPr="006068A2" w14:paraId="58667C10" w14:textId="77777777" w:rsidTr="00AB2A4D">
        <w:trPr>
          <w:trHeight w:val="70"/>
        </w:trPr>
        <w:tc>
          <w:tcPr>
            <w:tcW w:w="2424" w:type="dxa"/>
            <w:noWrap/>
            <w:vAlign w:val="center"/>
            <w:hideMark/>
          </w:tcPr>
          <w:p w14:paraId="3FAF7864"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Lugar</w:t>
            </w:r>
          </w:p>
        </w:tc>
        <w:tc>
          <w:tcPr>
            <w:tcW w:w="1963" w:type="dxa"/>
            <w:noWrap/>
            <w:vAlign w:val="center"/>
            <w:hideMark/>
          </w:tcPr>
          <w:p w14:paraId="49AA6EC4"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contributivo</w:t>
            </w:r>
          </w:p>
        </w:tc>
        <w:tc>
          <w:tcPr>
            <w:tcW w:w="2091" w:type="dxa"/>
            <w:noWrap/>
            <w:vAlign w:val="center"/>
            <w:hideMark/>
          </w:tcPr>
          <w:p w14:paraId="2A683843"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Subsidiado</w:t>
            </w:r>
          </w:p>
        </w:tc>
        <w:tc>
          <w:tcPr>
            <w:tcW w:w="2576" w:type="dxa"/>
            <w:noWrap/>
            <w:vAlign w:val="center"/>
            <w:hideMark/>
          </w:tcPr>
          <w:p w14:paraId="7B431AC2"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Total</w:t>
            </w:r>
          </w:p>
        </w:tc>
      </w:tr>
      <w:tr w:rsidR="00F81D98" w:rsidRPr="006068A2" w14:paraId="309557A2" w14:textId="77777777" w:rsidTr="00AB2A4D">
        <w:trPr>
          <w:trHeight w:val="421"/>
        </w:trPr>
        <w:tc>
          <w:tcPr>
            <w:tcW w:w="2424" w:type="dxa"/>
            <w:noWrap/>
            <w:vAlign w:val="center"/>
            <w:hideMark/>
          </w:tcPr>
          <w:p w14:paraId="6EB247C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Nacional</w:t>
            </w:r>
          </w:p>
        </w:tc>
        <w:tc>
          <w:tcPr>
            <w:tcW w:w="1963" w:type="dxa"/>
            <w:noWrap/>
            <w:vAlign w:val="center"/>
            <w:hideMark/>
          </w:tcPr>
          <w:p w14:paraId="48779E11"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336.189</w:t>
            </w:r>
          </w:p>
        </w:tc>
        <w:tc>
          <w:tcPr>
            <w:tcW w:w="2091" w:type="dxa"/>
            <w:noWrap/>
            <w:vAlign w:val="center"/>
            <w:hideMark/>
          </w:tcPr>
          <w:p w14:paraId="2FF7BBD5"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3.021.599</w:t>
            </w:r>
          </w:p>
        </w:tc>
        <w:tc>
          <w:tcPr>
            <w:tcW w:w="2576" w:type="dxa"/>
            <w:noWrap/>
            <w:vAlign w:val="center"/>
            <w:hideMark/>
          </w:tcPr>
          <w:p w14:paraId="4DEDA30F"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3.357.788</w:t>
            </w:r>
          </w:p>
        </w:tc>
      </w:tr>
      <w:tr w:rsidR="00F81D98" w:rsidRPr="006068A2" w14:paraId="0045A83D" w14:textId="77777777" w:rsidTr="00AB2A4D">
        <w:trPr>
          <w:trHeight w:val="401"/>
        </w:trPr>
        <w:tc>
          <w:tcPr>
            <w:tcW w:w="2424" w:type="dxa"/>
            <w:noWrap/>
            <w:vAlign w:val="center"/>
            <w:hideMark/>
          </w:tcPr>
          <w:p w14:paraId="6C4FABE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Bogotá</w:t>
            </w:r>
          </w:p>
        </w:tc>
        <w:tc>
          <w:tcPr>
            <w:tcW w:w="1963" w:type="dxa"/>
            <w:noWrap/>
            <w:vAlign w:val="center"/>
          </w:tcPr>
          <w:p w14:paraId="4781C243" w14:textId="222D82E4" w:rsidR="00F81D98" w:rsidRPr="006068A2" w:rsidRDefault="00A50C92" w:rsidP="00AB2A4D">
            <w:pPr>
              <w:spacing w:line="360" w:lineRule="auto"/>
              <w:jc w:val="center"/>
              <w:rPr>
                <w:rFonts w:ascii="Arial" w:hAnsi="Arial" w:cs="Arial"/>
                <w:sz w:val="22"/>
                <w:szCs w:val="22"/>
              </w:rPr>
            </w:pPr>
            <w:r>
              <w:rPr>
                <w:rFonts w:ascii="Arial" w:hAnsi="Arial" w:cs="Arial"/>
                <w:sz w:val="22"/>
                <w:szCs w:val="22"/>
              </w:rPr>
              <w:t>7.002</w:t>
            </w:r>
          </w:p>
        </w:tc>
        <w:tc>
          <w:tcPr>
            <w:tcW w:w="2091" w:type="dxa"/>
            <w:noWrap/>
            <w:vAlign w:val="center"/>
          </w:tcPr>
          <w:p w14:paraId="580650FE" w14:textId="68683416" w:rsidR="00F81D98" w:rsidRPr="006068A2" w:rsidRDefault="00A50C92" w:rsidP="00AB2A4D">
            <w:pPr>
              <w:spacing w:line="360" w:lineRule="auto"/>
              <w:jc w:val="center"/>
              <w:rPr>
                <w:rFonts w:ascii="Arial" w:hAnsi="Arial" w:cs="Arial"/>
                <w:sz w:val="22"/>
                <w:szCs w:val="22"/>
              </w:rPr>
            </w:pPr>
            <w:r w:rsidRPr="008F4BE8">
              <w:rPr>
                <w:rFonts w:ascii="Arial" w:hAnsi="Arial" w:cs="Arial"/>
                <w:sz w:val="22"/>
                <w:szCs w:val="22"/>
              </w:rPr>
              <w:t>27.470</w:t>
            </w:r>
          </w:p>
        </w:tc>
        <w:tc>
          <w:tcPr>
            <w:tcW w:w="2576" w:type="dxa"/>
            <w:noWrap/>
            <w:vAlign w:val="center"/>
          </w:tcPr>
          <w:p w14:paraId="055DF326" w14:textId="1952FC32" w:rsidR="00F81D98" w:rsidRPr="008F4BE8" w:rsidRDefault="008F4BE8" w:rsidP="00AB2A4D">
            <w:pPr>
              <w:spacing w:line="360" w:lineRule="auto"/>
              <w:jc w:val="center"/>
              <w:rPr>
                <w:rFonts w:ascii="Arial" w:hAnsi="Arial" w:cs="Arial"/>
                <w:sz w:val="22"/>
                <w:szCs w:val="22"/>
              </w:rPr>
            </w:pPr>
            <w:r w:rsidRPr="008F4BE8">
              <w:rPr>
                <w:rFonts w:ascii="Arial" w:eastAsia="Arial" w:hAnsi="Arial" w:cs="Arial"/>
                <w:sz w:val="22"/>
                <w:szCs w:val="22"/>
              </w:rPr>
              <w:t>34.472</w:t>
            </w:r>
          </w:p>
        </w:tc>
      </w:tr>
      <w:tr w:rsidR="00200D47" w:rsidRPr="006068A2" w14:paraId="0AC63082" w14:textId="77777777" w:rsidTr="00AB2A4D">
        <w:trPr>
          <w:trHeight w:val="70"/>
        </w:trPr>
        <w:tc>
          <w:tcPr>
            <w:tcW w:w="2424" w:type="dxa"/>
            <w:noWrap/>
            <w:vAlign w:val="center"/>
            <w:hideMark/>
          </w:tcPr>
          <w:p w14:paraId="0B53DED1" w14:textId="2F40D9E3" w:rsidR="00200D47" w:rsidRPr="006068A2" w:rsidRDefault="00200D47" w:rsidP="006068A2">
            <w:pPr>
              <w:spacing w:line="360" w:lineRule="auto"/>
              <w:jc w:val="both"/>
              <w:rPr>
                <w:rFonts w:ascii="Arial" w:hAnsi="Arial" w:cs="Arial"/>
                <w:b/>
                <w:bCs/>
                <w:sz w:val="22"/>
                <w:szCs w:val="22"/>
              </w:rPr>
            </w:pPr>
            <w:r w:rsidRPr="006068A2">
              <w:rPr>
                <w:rFonts w:ascii="Arial" w:hAnsi="Arial" w:cs="Arial"/>
                <w:b/>
                <w:bCs/>
                <w:sz w:val="22"/>
                <w:szCs w:val="22"/>
              </w:rPr>
              <w:t>Participación</w:t>
            </w:r>
          </w:p>
        </w:tc>
        <w:tc>
          <w:tcPr>
            <w:tcW w:w="1963" w:type="dxa"/>
            <w:noWrap/>
            <w:vAlign w:val="center"/>
            <w:hideMark/>
          </w:tcPr>
          <w:p w14:paraId="2B97A350" w14:textId="7F8F29E0"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2,1%</w:t>
            </w:r>
          </w:p>
        </w:tc>
        <w:tc>
          <w:tcPr>
            <w:tcW w:w="2091" w:type="dxa"/>
            <w:noWrap/>
            <w:vAlign w:val="center"/>
            <w:hideMark/>
          </w:tcPr>
          <w:p w14:paraId="7360FC6E" w14:textId="554571D1"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0,9%</w:t>
            </w:r>
          </w:p>
        </w:tc>
        <w:tc>
          <w:tcPr>
            <w:tcW w:w="2576" w:type="dxa"/>
            <w:noWrap/>
            <w:vAlign w:val="center"/>
            <w:hideMark/>
          </w:tcPr>
          <w:p w14:paraId="6AC10ABF" w14:textId="12DA82BA"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1,0%</w:t>
            </w:r>
          </w:p>
        </w:tc>
      </w:tr>
    </w:tbl>
    <w:p w14:paraId="55DD385C" w14:textId="75CE7015" w:rsidR="00F81D98" w:rsidRPr="005D62BA" w:rsidRDefault="00F81D98" w:rsidP="006068A2">
      <w:pPr>
        <w:pStyle w:val="Textonotapie"/>
        <w:spacing w:line="360" w:lineRule="auto"/>
        <w:jc w:val="both"/>
        <w:rPr>
          <w:rFonts w:ascii="Arial" w:hAnsi="Arial" w:cs="Arial"/>
          <w:sz w:val="16"/>
          <w:szCs w:val="16"/>
          <w:lang w:val="es-MX"/>
        </w:rPr>
      </w:pPr>
      <w:r w:rsidRPr="005D62BA">
        <w:rPr>
          <w:rFonts w:ascii="Arial" w:hAnsi="Arial" w:cs="Arial"/>
          <w:sz w:val="16"/>
          <w:szCs w:val="16"/>
        </w:rPr>
        <w:t xml:space="preserve">Fuente: Ministerio de Salud y Protección Social Cifras de afiliación.  </w:t>
      </w:r>
      <w:hyperlink r:id="rId25" w:history="1">
        <w:r w:rsidRPr="005D62BA">
          <w:rPr>
            <w:rStyle w:val="Hipervnculo"/>
            <w:rFonts w:ascii="Arial" w:hAnsi="Arial" w:cs="Arial"/>
            <w:sz w:val="16"/>
            <w:szCs w:val="16"/>
          </w:rPr>
          <w:t>https://www.minsalud.gov.co/proteccionsocial/Paginas/cifras-aseguramiento-salud.aspx</w:t>
        </w:r>
      </w:hyperlink>
      <w:r w:rsidRPr="005D62BA">
        <w:rPr>
          <w:rFonts w:ascii="Arial" w:hAnsi="Arial" w:cs="Arial"/>
          <w:sz w:val="16"/>
          <w:szCs w:val="16"/>
        </w:rPr>
        <w:t>. Consultado el 17/03/2026</w:t>
      </w:r>
    </w:p>
    <w:p w14:paraId="26048A79" w14:textId="77777777" w:rsidR="00F81D98" w:rsidRPr="006068A2" w:rsidRDefault="00F81D98" w:rsidP="006068A2">
      <w:pPr>
        <w:spacing w:line="360" w:lineRule="auto"/>
        <w:jc w:val="both"/>
        <w:rPr>
          <w:rFonts w:ascii="Arial" w:hAnsi="Arial" w:cs="Arial"/>
          <w:sz w:val="22"/>
          <w:szCs w:val="22"/>
        </w:rPr>
      </w:pPr>
    </w:p>
    <w:p w14:paraId="6424CE12" w14:textId="7DFC7194" w:rsidR="00550B2C" w:rsidRDefault="00F21EEE" w:rsidP="00550B2C">
      <w:pPr>
        <w:spacing w:line="360" w:lineRule="auto"/>
        <w:jc w:val="both"/>
        <w:rPr>
          <w:rFonts w:ascii="Arial" w:hAnsi="Arial" w:cs="Arial"/>
          <w:sz w:val="22"/>
          <w:szCs w:val="22"/>
        </w:rPr>
      </w:pPr>
      <w:r w:rsidRPr="00F21EEE">
        <w:rPr>
          <w:rFonts w:ascii="Arial" w:hAnsi="Arial" w:cs="Arial"/>
          <w:sz w:val="22"/>
          <w:szCs w:val="22"/>
        </w:rPr>
        <w:t xml:space="preserve">Como se observa en la Tabla 5, la participación de Bogotá dentro de la afiliación nacional de COOSALUD EPS es marginal en términos agregados, al representar aproximadamente el 1,0% del total nacional de afiliados de la entidad. No obstante, al desagregar por régimen, se evidencia un comportamiento diferenciado: Bogotá concentra el 2,1% de los afiliados del régimen contributivo de COOSALUD EPS a nivel nacional y el 0,9% de los afiliados del régimen subsidiado. Aunque en ambos casos la participación es reducida, el peso relativo de Bogotá resulta mayor en el componente contributivo que en el subsidiado. Esta composición confirma que, si bien Bogotá no constituye uno de los principales territorios de </w:t>
      </w:r>
      <w:r w:rsidRPr="00F21EEE">
        <w:rPr>
          <w:rFonts w:ascii="Arial" w:hAnsi="Arial" w:cs="Arial"/>
          <w:sz w:val="22"/>
          <w:szCs w:val="22"/>
        </w:rPr>
        <w:lastRenderedPageBreak/>
        <w:t>concentración de afiliados de COOSALUD EPS en términos absolutos, sí representa un escenario relevante para el seguimiento territorial, en la medida en que el desempeño de la EPS en el Distrito puede incidir en la articulación de la red prestadora, en la oportunidad del acceso a servicios especializados y en la continuidad de la atención de su población afiliada.</w:t>
      </w:r>
    </w:p>
    <w:p w14:paraId="45F6341F" w14:textId="77777777" w:rsidR="00F21EEE" w:rsidRPr="00550B2C" w:rsidRDefault="00F21EEE" w:rsidP="00550B2C">
      <w:pPr>
        <w:spacing w:line="360" w:lineRule="auto"/>
        <w:jc w:val="both"/>
        <w:rPr>
          <w:rFonts w:ascii="Arial" w:hAnsi="Arial" w:cs="Arial"/>
          <w:sz w:val="22"/>
          <w:szCs w:val="22"/>
        </w:rPr>
      </w:pPr>
    </w:p>
    <w:p w14:paraId="4F8D6A3E"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Lo anterior permite inferir que Bogotá no constituye uno de los principales territorios de concentración de afiliados para COOSALUD EPS en términos absolutos; sin embargo, sí representa un escenario relevante para el seguimiento institucional, en la medida en que la operación de la EPS en el Distrito debe analizarse no solo por el número de afiliados, sino también por el impacto que su desempeño puede generar sobre la red de prestación, el acceso a servicios especializados, la atención de eventos de mediana y alta complejidad y la respuesta frente a las necesidades en salud de la población asegurada. En consecuencia, aun cuando su peso porcentual dentro del total nacional es bajo, la gestión de COOSALUD EPS en Bogotá debe mantenerse bajo observación, particularmente desde la perspectiva de inspección, vigilancia y seguimiento territorial.</w:t>
      </w:r>
    </w:p>
    <w:p w14:paraId="6E986EA1" w14:textId="77777777" w:rsidR="003D4F3C" w:rsidRDefault="003D4F3C" w:rsidP="00550B2C">
      <w:pPr>
        <w:spacing w:line="360" w:lineRule="auto"/>
        <w:jc w:val="both"/>
        <w:rPr>
          <w:rFonts w:ascii="Arial" w:hAnsi="Arial" w:cs="Arial"/>
          <w:sz w:val="22"/>
          <w:szCs w:val="22"/>
        </w:rPr>
      </w:pPr>
    </w:p>
    <w:p w14:paraId="53DBF3DB" w14:textId="77777777" w:rsidR="002F4EEB" w:rsidRDefault="003D4F3C" w:rsidP="003D4F3C">
      <w:pPr>
        <w:spacing w:line="360" w:lineRule="auto"/>
        <w:jc w:val="both"/>
        <w:rPr>
          <w:rFonts w:ascii="Arial" w:hAnsi="Arial" w:cs="Arial"/>
          <w:sz w:val="22"/>
          <w:szCs w:val="22"/>
        </w:rPr>
      </w:pPr>
      <w:r w:rsidRPr="003D4F3C">
        <w:rPr>
          <w:rFonts w:ascii="Arial" w:hAnsi="Arial" w:cs="Arial"/>
          <w:sz w:val="22"/>
          <w:szCs w:val="22"/>
        </w:rPr>
        <w:t xml:space="preserve">Adicionalmente, la caracterización por rango de edad de la población afiliada a COOSALUD EPS en Bogotá permite identificar elementos relevantes para el análisis de su operación y de las necesidades de atención en salud de sus usuarios. </w:t>
      </w:r>
    </w:p>
    <w:p w14:paraId="485C2E2B" w14:textId="77777777" w:rsidR="002F4EEB" w:rsidRDefault="002F4EEB" w:rsidP="003D4F3C">
      <w:pPr>
        <w:spacing w:line="360" w:lineRule="auto"/>
        <w:jc w:val="both"/>
        <w:rPr>
          <w:rFonts w:ascii="Arial" w:hAnsi="Arial" w:cs="Arial"/>
          <w:sz w:val="22"/>
          <w:szCs w:val="22"/>
        </w:rPr>
      </w:pPr>
    </w:p>
    <w:p w14:paraId="3F9897D6" w14:textId="3826ECEE" w:rsidR="003D4F3C" w:rsidRDefault="003D4F3C" w:rsidP="003D4F3C">
      <w:pPr>
        <w:spacing w:line="360" w:lineRule="auto"/>
        <w:jc w:val="both"/>
        <w:rPr>
          <w:rFonts w:ascii="Arial" w:hAnsi="Arial" w:cs="Arial"/>
          <w:sz w:val="22"/>
          <w:szCs w:val="22"/>
        </w:rPr>
      </w:pPr>
      <w:r w:rsidRPr="003D4F3C">
        <w:rPr>
          <w:rFonts w:ascii="Arial" w:hAnsi="Arial" w:cs="Arial"/>
          <w:sz w:val="22"/>
          <w:szCs w:val="22"/>
        </w:rPr>
        <w:t>Como se observa en la Tabla 6, la mayor concentración de afiliados se encuentra en la población adulta de 29 a 59 años, que representa el 39,1% del total, equivalente a 13.485 usuarios, seguida por el grupo de juventud entre 18 y 28 años, con 7.978 afiliados, correspondientes al 23,1%. Por su parte, la población de 60 años y más asciende a 3.284 afiliados, que representan el 9,5% del total, proporción que, aunque menor, resulta significativa por las mayores demandas de atención asociadas a enfermedades crónicas, seguimiento clínico y continuidad en los tratamientos.</w:t>
      </w:r>
    </w:p>
    <w:p w14:paraId="5A672251" w14:textId="77777777" w:rsidR="000D3B21" w:rsidRDefault="000D3B21" w:rsidP="003D4F3C">
      <w:pPr>
        <w:spacing w:line="360" w:lineRule="auto"/>
        <w:jc w:val="both"/>
        <w:rPr>
          <w:rFonts w:ascii="Arial" w:hAnsi="Arial" w:cs="Arial"/>
          <w:sz w:val="22"/>
          <w:szCs w:val="22"/>
        </w:rPr>
      </w:pPr>
    </w:p>
    <w:p w14:paraId="4DE66505" w14:textId="0D5EA398"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5" w:name="_Toc229395863"/>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6</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Afiliados de Coosalud EPS por rango de edad, Bogotá, diciembre de 2025</w:t>
      </w:r>
      <w:bookmarkEnd w:id="15"/>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"Libro2" "Hoja1!F59C1:F66C3" \a \f 4 \h  \* MERGEFORMAT </w:instrText>
      </w:r>
      <w:r w:rsidR="00F81D98" w:rsidRPr="006068A2">
        <w:rPr>
          <w:rFonts w:ascii="Arial" w:hAnsi="Arial" w:cs="Arial"/>
          <w:i w:val="0"/>
          <w:iCs w:val="0"/>
          <w:color w:val="auto"/>
          <w:sz w:val="22"/>
          <w:szCs w:val="22"/>
        </w:rPr>
        <w:fldChar w:fldCharType="separate"/>
      </w:r>
    </w:p>
    <w:p w14:paraId="5311E582" w14:textId="77777777" w:rsidR="00D938DB" w:rsidRDefault="00D938DB" w:rsidP="006068A2">
      <w:pPr>
        <w:spacing w:line="360" w:lineRule="auto"/>
        <w:jc w:val="both"/>
        <w:rPr>
          <w:rFonts w:ascii="Arial" w:hAnsi="Arial" w:cs="Arial"/>
          <w:sz w:val="22"/>
          <w:szCs w:val="22"/>
        </w:rPr>
      </w:pPr>
    </w:p>
    <w:tbl>
      <w:tblPr>
        <w:tblStyle w:val="Tablaconcuadrcula"/>
        <w:tblW w:w="8804" w:type="dxa"/>
        <w:tblLook w:val="04A0" w:firstRow="1" w:lastRow="0" w:firstColumn="1" w:lastColumn="0" w:noHBand="0" w:noVBand="1"/>
      </w:tblPr>
      <w:tblGrid>
        <w:gridCol w:w="5631"/>
        <w:gridCol w:w="1523"/>
        <w:gridCol w:w="1650"/>
      </w:tblGrid>
      <w:tr w:rsidR="00D938DB" w:rsidRPr="00D938DB" w14:paraId="54D6C543" w14:textId="77777777" w:rsidTr="00DA2318">
        <w:trPr>
          <w:trHeight w:val="388"/>
        </w:trPr>
        <w:tc>
          <w:tcPr>
            <w:tcW w:w="0" w:type="auto"/>
            <w:vAlign w:val="center"/>
            <w:hideMark/>
          </w:tcPr>
          <w:p w14:paraId="6125F606"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Rango de edad</w:t>
            </w:r>
          </w:p>
        </w:tc>
        <w:tc>
          <w:tcPr>
            <w:tcW w:w="0" w:type="auto"/>
            <w:vAlign w:val="center"/>
            <w:hideMark/>
          </w:tcPr>
          <w:p w14:paraId="085C3194" w14:textId="2DEF7FDF" w:rsidR="00D938DB" w:rsidRPr="00D938DB" w:rsidRDefault="0058615C" w:rsidP="00D938DB">
            <w:pPr>
              <w:spacing w:line="360" w:lineRule="auto"/>
              <w:jc w:val="center"/>
              <w:rPr>
                <w:rFonts w:ascii="Arial" w:hAnsi="Arial" w:cs="Arial"/>
                <w:b/>
                <w:bCs/>
                <w:sz w:val="22"/>
                <w:szCs w:val="22"/>
              </w:rPr>
            </w:pPr>
            <w:proofErr w:type="spellStart"/>
            <w:r w:rsidRPr="00D938DB">
              <w:rPr>
                <w:rFonts w:ascii="Arial" w:hAnsi="Arial" w:cs="Arial"/>
                <w:b/>
                <w:bCs/>
                <w:sz w:val="22"/>
                <w:szCs w:val="22"/>
              </w:rPr>
              <w:t>Nº</w:t>
            </w:r>
            <w:proofErr w:type="spellEnd"/>
          </w:p>
        </w:tc>
        <w:tc>
          <w:tcPr>
            <w:tcW w:w="0" w:type="auto"/>
            <w:vAlign w:val="center"/>
            <w:hideMark/>
          </w:tcPr>
          <w:p w14:paraId="53E6B5BC"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w:t>
            </w:r>
          </w:p>
        </w:tc>
      </w:tr>
      <w:tr w:rsidR="00D938DB" w:rsidRPr="00D938DB" w14:paraId="65F6EF0C" w14:textId="77777777" w:rsidTr="00DA2318">
        <w:trPr>
          <w:trHeight w:val="410"/>
        </w:trPr>
        <w:tc>
          <w:tcPr>
            <w:tcW w:w="0" w:type="auto"/>
            <w:vAlign w:val="center"/>
            <w:hideMark/>
          </w:tcPr>
          <w:p w14:paraId="4E5A7E9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a. Primera infancia (0 a 5 años)</w:t>
            </w:r>
          </w:p>
        </w:tc>
        <w:tc>
          <w:tcPr>
            <w:tcW w:w="0" w:type="auto"/>
            <w:vAlign w:val="center"/>
            <w:hideMark/>
          </w:tcPr>
          <w:p w14:paraId="00B8671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2.590</w:t>
            </w:r>
          </w:p>
        </w:tc>
        <w:tc>
          <w:tcPr>
            <w:tcW w:w="0" w:type="auto"/>
            <w:vAlign w:val="center"/>
            <w:hideMark/>
          </w:tcPr>
          <w:p w14:paraId="3D57A2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7,5%</w:t>
            </w:r>
          </w:p>
        </w:tc>
      </w:tr>
      <w:tr w:rsidR="00D938DB" w:rsidRPr="00D938DB" w14:paraId="10D80784" w14:textId="77777777" w:rsidTr="00DA2318">
        <w:trPr>
          <w:trHeight w:val="388"/>
        </w:trPr>
        <w:tc>
          <w:tcPr>
            <w:tcW w:w="0" w:type="auto"/>
            <w:vAlign w:val="center"/>
            <w:hideMark/>
          </w:tcPr>
          <w:p w14:paraId="4D3D873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lastRenderedPageBreak/>
              <w:t>b. Infancia (6 a 11 años)</w:t>
            </w:r>
          </w:p>
        </w:tc>
        <w:tc>
          <w:tcPr>
            <w:tcW w:w="0" w:type="auto"/>
            <w:vAlign w:val="center"/>
            <w:hideMark/>
          </w:tcPr>
          <w:p w14:paraId="4C78F304"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3.434</w:t>
            </w:r>
          </w:p>
        </w:tc>
        <w:tc>
          <w:tcPr>
            <w:tcW w:w="0" w:type="auto"/>
            <w:vAlign w:val="center"/>
            <w:hideMark/>
          </w:tcPr>
          <w:p w14:paraId="570FB67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10,0%</w:t>
            </w:r>
          </w:p>
        </w:tc>
      </w:tr>
      <w:tr w:rsidR="00D938DB" w:rsidRPr="00D938DB" w14:paraId="41552C36" w14:textId="77777777" w:rsidTr="00DA2318">
        <w:trPr>
          <w:trHeight w:val="410"/>
        </w:trPr>
        <w:tc>
          <w:tcPr>
            <w:tcW w:w="0" w:type="auto"/>
            <w:vAlign w:val="center"/>
            <w:hideMark/>
          </w:tcPr>
          <w:p w14:paraId="4AA5185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c. Adolescencia (12 a 17 años)</w:t>
            </w:r>
          </w:p>
        </w:tc>
        <w:tc>
          <w:tcPr>
            <w:tcW w:w="0" w:type="auto"/>
            <w:vAlign w:val="center"/>
            <w:hideMark/>
          </w:tcPr>
          <w:p w14:paraId="3AA37CB9"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3.701</w:t>
            </w:r>
          </w:p>
        </w:tc>
        <w:tc>
          <w:tcPr>
            <w:tcW w:w="0" w:type="auto"/>
            <w:vAlign w:val="center"/>
            <w:hideMark/>
          </w:tcPr>
          <w:p w14:paraId="2CF4AB1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10,7%</w:t>
            </w:r>
          </w:p>
        </w:tc>
      </w:tr>
      <w:tr w:rsidR="00D938DB" w:rsidRPr="00D938DB" w14:paraId="4F1AF6EC" w14:textId="77777777" w:rsidTr="00DA2318">
        <w:trPr>
          <w:trHeight w:val="388"/>
        </w:trPr>
        <w:tc>
          <w:tcPr>
            <w:tcW w:w="0" w:type="auto"/>
            <w:vAlign w:val="center"/>
            <w:hideMark/>
          </w:tcPr>
          <w:p w14:paraId="7B8DE1B0"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d. Juventud (18 a 28 años)</w:t>
            </w:r>
          </w:p>
        </w:tc>
        <w:tc>
          <w:tcPr>
            <w:tcW w:w="0" w:type="auto"/>
            <w:vAlign w:val="center"/>
            <w:hideMark/>
          </w:tcPr>
          <w:p w14:paraId="0D18277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7.978</w:t>
            </w:r>
          </w:p>
        </w:tc>
        <w:tc>
          <w:tcPr>
            <w:tcW w:w="0" w:type="auto"/>
            <w:vAlign w:val="center"/>
            <w:hideMark/>
          </w:tcPr>
          <w:p w14:paraId="72AF6DFA"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23,1%</w:t>
            </w:r>
          </w:p>
        </w:tc>
      </w:tr>
      <w:tr w:rsidR="00D938DB" w:rsidRPr="00D938DB" w14:paraId="0024F8FD" w14:textId="77777777" w:rsidTr="00DA2318">
        <w:trPr>
          <w:trHeight w:val="388"/>
        </w:trPr>
        <w:tc>
          <w:tcPr>
            <w:tcW w:w="0" w:type="auto"/>
            <w:vAlign w:val="center"/>
            <w:hideMark/>
          </w:tcPr>
          <w:p w14:paraId="587F932D"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e. Adultez (29 a 59 años)</w:t>
            </w:r>
          </w:p>
        </w:tc>
        <w:tc>
          <w:tcPr>
            <w:tcW w:w="0" w:type="auto"/>
            <w:vAlign w:val="center"/>
            <w:hideMark/>
          </w:tcPr>
          <w:p w14:paraId="313DFE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13.485</w:t>
            </w:r>
          </w:p>
        </w:tc>
        <w:tc>
          <w:tcPr>
            <w:tcW w:w="0" w:type="auto"/>
            <w:vAlign w:val="center"/>
            <w:hideMark/>
          </w:tcPr>
          <w:p w14:paraId="324E47C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39,1%</w:t>
            </w:r>
          </w:p>
        </w:tc>
      </w:tr>
      <w:tr w:rsidR="00D938DB" w:rsidRPr="00D938DB" w14:paraId="7042192B" w14:textId="77777777" w:rsidTr="00DA2318">
        <w:trPr>
          <w:trHeight w:val="388"/>
        </w:trPr>
        <w:tc>
          <w:tcPr>
            <w:tcW w:w="0" w:type="auto"/>
            <w:vAlign w:val="center"/>
            <w:hideMark/>
          </w:tcPr>
          <w:p w14:paraId="2570A4E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f. Vejez (60 años y más)</w:t>
            </w:r>
          </w:p>
        </w:tc>
        <w:tc>
          <w:tcPr>
            <w:tcW w:w="0" w:type="auto"/>
            <w:vAlign w:val="center"/>
            <w:hideMark/>
          </w:tcPr>
          <w:p w14:paraId="6D73051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3.284</w:t>
            </w:r>
          </w:p>
        </w:tc>
        <w:tc>
          <w:tcPr>
            <w:tcW w:w="0" w:type="auto"/>
            <w:vAlign w:val="center"/>
            <w:hideMark/>
          </w:tcPr>
          <w:p w14:paraId="70971D0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9,5%</w:t>
            </w:r>
          </w:p>
        </w:tc>
      </w:tr>
      <w:tr w:rsidR="00D938DB" w:rsidRPr="00D938DB" w14:paraId="0415BFF2" w14:textId="77777777" w:rsidTr="00DA2318">
        <w:trPr>
          <w:trHeight w:val="388"/>
        </w:trPr>
        <w:tc>
          <w:tcPr>
            <w:tcW w:w="0" w:type="auto"/>
            <w:vAlign w:val="center"/>
            <w:hideMark/>
          </w:tcPr>
          <w:p w14:paraId="32CC6F4C" w14:textId="6A5FFA9F" w:rsidR="00D938DB" w:rsidRPr="00D938DB" w:rsidRDefault="00633DE6" w:rsidP="00D938DB">
            <w:pPr>
              <w:spacing w:line="360" w:lineRule="auto"/>
              <w:jc w:val="both"/>
              <w:rPr>
                <w:rFonts w:ascii="Arial" w:hAnsi="Arial" w:cs="Arial"/>
                <w:sz w:val="22"/>
                <w:szCs w:val="22"/>
              </w:rPr>
            </w:pPr>
            <w:r w:rsidRPr="00D938DB">
              <w:rPr>
                <w:rFonts w:ascii="Arial" w:hAnsi="Arial" w:cs="Arial"/>
                <w:b/>
                <w:bCs/>
                <w:sz w:val="22"/>
                <w:szCs w:val="22"/>
              </w:rPr>
              <w:t>Total,</w:t>
            </w:r>
            <w:r w:rsidR="00D938DB" w:rsidRPr="00D938DB">
              <w:rPr>
                <w:rFonts w:ascii="Arial" w:hAnsi="Arial" w:cs="Arial"/>
                <w:b/>
                <w:bCs/>
                <w:sz w:val="22"/>
                <w:szCs w:val="22"/>
              </w:rPr>
              <w:t xml:space="preserve"> general</w:t>
            </w:r>
          </w:p>
        </w:tc>
        <w:tc>
          <w:tcPr>
            <w:tcW w:w="0" w:type="auto"/>
            <w:vAlign w:val="center"/>
            <w:hideMark/>
          </w:tcPr>
          <w:p w14:paraId="67D68701"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34.472</w:t>
            </w:r>
          </w:p>
        </w:tc>
        <w:tc>
          <w:tcPr>
            <w:tcW w:w="0" w:type="auto"/>
            <w:vAlign w:val="center"/>
            <w:hideMark/>
          </w:tcPr>
          <w:p w14:paraId="2C062DB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100,0%</w:t>
            </w:r>
          </w:p>
        </w:tc>
      </w:tr>
    </w:tbl>
    <w:p w14:paraId="12E27156" w14:textId="709E9666" w:rsidR="00F81D98" w:rsidRPr="005D62BA" w:rsidRDefault="00F81D98" w:rsidP="006068A2">
      <w:pPr>
        <w:spacing w:line="360" w:lineRule="auto"/>
        <w:jc w:val="both"/>
        <w:rPr>
          <w:rFonts w:ascii="Arial" w:hAnsi="Arial" w:cs="Arial"/>
          <w:sz w:val="16"/>
          <w:szCs w:val="16"/>
          <w:lang w:val="es-ES"/>
        </w:rPr>
      </w:pPr>
      <w:r w:rsidRPr="006068A2">
        <w:rPr>
          <w:rFonts w:ascii="Arial" w:hAnsi="Arial" w:cs="Arial"/>
          <w:sz w:val="22"/>
          <w:szCs w:val="22"/>
        </w:rPr>
        <w:fldChar w:fldCharType="end"/>
      </w:r>
      <w:r w:rsidRPr="005D62BA">
        <w:rPr>
          <w:rFonts w:ascii="Arial" w:hAnsi="Arial" w:cs="Arial"/>
          <w:sz w:val="16"/>
          <w:szCs w:val="16"/>
          <w:lang w:val="es-ES"/>
        </w:rPr>
        <w:t xml:space="preserve">Fuentes: * Contributivo BDUA - ADRES, corte a 31 de </w:t>
      </w:r>
      <w:r w:rsidR="005D62BA" w:rsidRPr="005D62BA">
        <w:rPr>
          <w:rFonts w:ascii="Arial" w:hAnsi="Arial" w:cs="Arial"/>
          <w:sz w:val="16"/>
          <w:szCs w:val="16"/>
          <w:lang w:val="es-ES"/>
        </w:rPr>
        <w:t>diciembre</w:t>
      </w:r>
      <w:r w:rsidRPr="005D62BA">
        <w:rPr>
          <w:rFonts w:ascii="Arial" w:hAnsi="Arial" w:cs="Arial"/>
          <w:sz w:val="16"/>
          <w:szCs w:val="16"/>
          <w:lang w:val="es-ES"/>
        </w:rPr>
        <w:t xml:space="preserve"> de 2025. * Subsidiado BDUA - ADRES, corte a 31 de </w:t>
      </w:r>
      <w:r w:rsidR="002B65B6" w:rsidRPr="005D62BA">
        <w:rPr>
          <w:rFonts w:ascii="Arial" w:hAnsi="Arial" w:cs="Arial"/>
          <w:sz w:val="16"/>
          <w:szCs w:val="16"/>
          <w:lang w:val="es-ES"/>
        </w:rPr>
        <w:t>diciembre</w:t>
      </w:r>
      <w:r w:rsidRPr="005D62BA">
        <w:rPr>
          <w:rFonts w:ascii="Arial" w:hAnsi="Arial" w:cs="Arial"/>
          <w:sz w:val="16"/>
          <w:szCs w:val="16"/>
          <w:lang w:val="es-ES"/>
        </w:rPr>
        <w:t xml:space="preserve"> de 2025. </w:t>
      </w:r>
    </w:p>
    <w:p w14:paraId="2811A045" w14:textId="77777777" w:rsidR="00A637D7" w:rsidRPr="006068A2" w:rsidRDefault="00A637D7" w:rsidP="006068A2">
      <w:pPr>
        <w:spacing w:line="360" w:lineRule="auto"/>
        <w:jc w:val="both"/>
        <w:rPr>
          <w:rFonts w:ascii="Arial" w:hAnsi="Arial" w:cs="Arial"/>
          <w:sz w:val="22"/>
          <w:szCs w:val="22"/>
        </w:rPr>
      </w:pPr>
    </w:p>
    <w:bookmarkEnd w:id="13"/>
    <w:p w14:paraId="2410D4D6" w14:textId="4A12E703" w:rsidR="00F81D98" w:rsidRDefault="00DA2318" w:rsidP="006068A2">
      <w:pPr>
        <w:spacing w:line="360" w:lineRule="auto"/>
        <w:jc w:val="both"/>
        <w:rPr>
          <w:rFonts w:ascii="Arial" w:hAnsi="Arial" w:cs="Arial"/>
          <w:sz w:val="22"/>
          <w:szCs w:val="22"/>
        </w:rPr>
      </w:pPr>
      <w:r w:rsidRPr="00DA2318">
        <w:rPr>
          <w:rFonts w:ascii="Arial" w:hAnsi="Arial" w:cs="Arial"/>
          <w:sz w:val="22"/>
          <w:szCs w:val="22"/>
        </w:rPr>
        <w:t>En conjunto, esta estructura etaria sugiere la necesidad de fortalecer acciones de gestión del riesgo, promoción de la salud, prevención de enfermedad crónica y articulación efectiva de rutas de atención, particularmente en los grupos de mayor peso poblacional. En este contexto, si bien COOSALUD EPS constituye un actor menor del aseguramiento en salud en Bogotá, al concentrar el 0,4% del total de afiliados del Distrito, equivalente a 34.472 usuarios, su operación requiere un seguimiento específico, en la medida en que las características demográficas de su población afiliada pueden traducirse en necesidades particulares de acceso, oportunidad y continuidad de la atención.</w:t>
      </w:r>
    </w:p>
    <w:p w14:paraId="7A815C3B" w14:textId="77777777" w:rsidR="00897D61" w:rsidRDefault="00897D61" w:rsidP="006068A2">
      <w:pPr>
        <w:spacing w:line="360" w:lineRule="auto"/>
        <w:jc w:val="both"/>
        <w:rPr>
          <w:rFonts w:ascii="Arial" w:hAnsi="Arial" w:cs="Arial"/>
          <w:sz w:val="22"/>
          <w:szCs w:val="22"/>
        </w:rPr>
      </w:pPr>
    </w:p>
    <w:p w14:paraId="69EFCC90" w14:textId="13740D17" w:rsidR="000C4AE0" w:rsidRPr="006068A2" w:rsidRDefault="00B73EA3" w:rsidP="006068A2">
      <w:pPr>
        <w:pStyle w:val="Ttulo1"/>
        <w:numPr>
          <w:ilvl w:val="0"/>
          <w:numId w:val="9"/>
        </w:numPr>
        <w:spacing w:before="0" w:line="360" w:lineRule="auto"/>
        <w:jc w:val="both"/>
        <w:rPr>
          <w:rFonts w:ascii="Arial" w:eastAsia="Arial" w:hAnsi="Arial" w:cs="Arial"/>
          <w:b/>
          <w:bCs/>
          <w:color w:val="auto"/>
          <w:sz w:val="22"/>
          <w:szCs w:val="22"/>
        </w:rPr>
      </w:pPr>
      <w:bookmarkStart w:id="16" w:name="_Toc229397832"/>
      <w:r w:rsidRPr="006068A2">
        <w:rPr>
          <w:rFonts w:ascii="Arial" w:eastAsia="Arial" w:hAnsi="Arial" w:cs="Arial"/>
          <w:b/>
          <w:bCs/>
          <w:color w:val="auto"/>
          <w:sz w:val="22"/>
          <w:szCs w:val="22"/>
        </w:rPr>
        <w:t>OBJETIVOS</w:t>
      </w:r>
      <w:bookmarkEnd w:id="16"/>
    </w:p>
    <w:p w14:paraId="1BA55E44" w14:textId="77777777" w:rsidR="00A73AD2" w:rsidRPr="006068A2" w:rsidRDefault="00A73AD2" w:rsidP="006068A2">
      <w:pPr>
        <w:spacing w:line="360" w:lineRule="auto"/>
        <w:jc w:val="both"/>
        <w:rPr>
          <w:rFonts w:ascii="Arial" w:eastAsia="Arial" w:hAnsi="Arial" w:cs="Arial"/>
          <w:sz w:val="22"/>
          <w:szCs w:val="22"/>
        </w:rPr>
      </w:pPr>
    </w:p>
    <w:p w14:paraId="7FD4146E" w14:textId="4F126BC9"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7" w:name="_Toc229397833"/>
      <w:r w:rsidRPr="006068A2">
        <w:rPr>
          <w:rFonts w:ascii="Arial" w:eastAsia="Arial" w:hAnsi="Arial" w:cs="Arial"/>
          <w:b/>
          <w:bCs/>
          <w:color w:val="auto"/>
          <w:sz w:val="22"/>
          <w:szCs w:val="22"/>
        </w:rPr>
        <w:t>Objetivo general</w:t>
      </w:r>
      <w:bookmarkEnd w:id="17"/>
    </w:p>
    <w:p w14:paraId="3D5F03A0" w14:textId="77777777" w:rsidR="007F05D9" w:rsidRDefault="007F05D9" w:rsidP="007F05D9">
      <w:pPr>
        <w:spacing w:line="360" w:lineRule="auto"/>
        <w:jc w:val="both"/>
        <w:rPr>
          <w:rFonts w:ascii="Arial" w:eastAsia="Arial" w:hAnsi="Arial" w:cs="Arial"/>
          <w:sz w:val="22"/>
          <w:szCs w:val="22"/>
          <w:lang w:val="es-ES"/>
        </w:rPr>
      </w:pPr>
    </w:p>
    <w:p w14:paraId="4A897076" w14:textId="589092DD" w:rsidR="00045103" w:rsidRPr="006068A2" w:rsidRDefault="00045103" w:rsidP="007F05D9">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Analizar de manera integral la operación de la </w:t>
      </w:r>
      <w:r w:rsidR="0048032B" w:rsidRPr="006068A2">
        <w:rPr>
          <w:rFonts w:ascii="Arial" w:eastAsia="Arial" w:hAnsi="Arial" w:cs="Arial"/>
          <w:sz w:val="22"/>
          <w:szCs w:val="22"/>
          <w:lang w:val="es-ES"/>
        </w:rPr>
        <w:t>EPS COOSALUD</w:t>
      </w:r>
      <w:r w:rsidRPr="006068A2">
        <w:rPr>
          <w:rFonts w:ascii="Arial" w:eastAsia="Arial" w:hAnsi="Arial" w:cs="Arial"/>
          <w:sz w:val="22"/>
          <w:szCs w:val="22"/>
          <w:lang w:val="es-ES"/>
        </w:rPr>
        <w:t xml:space="preserve"> en Bogotá, a partir del estudio de las </w:t>
      </w:r>
      <w:r w:rsidR="00F83395" w:rsidRPr="006068A2">
        <w:rPr>
          <w:rFonts w:ascii="Arial" w:eastAsia="Arial" w:hAnsi="Arial" w:cs="Arial"/>
          <w:sz w:val="22"/>
          <w:szCs w:val="22"/>
          <w:lang w:val="es-ES"/>
        </w:rPr>
        <w:t>PQRSD</w:t>
      </w:r>
      <w:r w:rsidRPr="006068A2">
        <w:rPr>
          <w:rFonts w:ascii="Arial" w:eastAsia="Arial" w:hAnsi="Arial" w:cs="Arial"/>
          <w:sz w:val="22"/>
          <w:szCs w:val="22"/>
          <w:lang w:val="es-ES"/>
        </w:rPr>
        <w:t xml:space="preserve"> ciudadanas, el desempeño financiero, los resultados en salud y la gestión del riesgo, con el fin de sustentar la toma de decisiones estratégicas de la Secretaría Distrital de Salud, en su calidad de Ente Territorial.</w:t>
      </w:r>
    </w:p>
    <w:p w14:paraId="26AFCF12" w14:textId="77777777" w:rsidR="000C4AE0" w:rsidRPr="006068A2" w:rsidRDefault="000C4AE0" w:rsidP="006068A2">
      <w:pPr>
        <w:spacing w:line="360" w:lineRule="auto"/>
        <w:jc w:val="both"/>
        <w:rPr>
          <w:rFonts w:ascii="Arial" w:eastAsia="Arial" w:hAnsi="Arial" w:cs="Arial"/>
          <w:sz w:val="22"/>
          <w:szCs w:val="22"/>
        </w:rPr>
      </w:pPr>
    </w:p>
    <w:p w14:paraId="41A7A0F5" w14:textId="7B271EE2"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8" w:name="_Toc229397834"/>
      <w:r w:rsidRPr="006068A2">
        <w:rPr>
          <w:rFonts w:ascii="Arial" w:eastAsia="Arial" w:hAnsi="Arial" w:cs="Arial"/>
          <w:b/>
          <w:bCs/>
          <w:color w:val="auto"/>
          <w:sz w:val="22"/>
          <w:szCs w:val="22"/>
        </w:rPr>
        <w:t>Objetivos específicos</w:t>
      </w:r>
      <w:bookmarkEnd w:id="18"/>
    </w:p>
    <w:p w14:paraId="08350934" w14:textId="3B298B70" w:rsidR="3FE75128" w:rsidRPr="006068A2" w:rsidRDefault="3FE75128" w:rsidP="00E436AE">
      <w:pPr>
        <w:spacing w:line="360" w:lineRule="auto"/>
        <w:jc w:val="both"/>
        <w:rPr>
          <w:rStyle w:val="s1"/>
          <w:rFonts w:ascii="Arial" w:eastAsia="Arial" w:hAnsi="Arial" w:cs="Arial"/>
          <w:sz w:val="22"/>
          <w:szCs w:val="22"/>
        </w:rPr>
      </w:pPr>
    </w:p>
    <w:p w14:paraId="77D54847" w14:textId="77777777" w:rsidR="00E436AE" w:rsidRDefault="00F03D33"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Examinar el comportamiento de las </w:t>
      </w:r>
      <w:r w:rsidR="00F83395" w:rsidRPr="00E436AE">
        <w:rPr>
          <w:rStyle w:val="s1"/>
          <w:rFonts w:ascii="Arial" w:eastAsia="Arial" w:hAnsi="Arial" w:cs="Arial"/>
          <w:sz w:val="22"/>
          <w:szCs w:val="22"/>
        </w:rPr>
        <w:t>PQRSD</w:t>
      </w:r>
      <w:r w:rsidRPr="00E436AE">
        <w:rPr>
          <w:rStyle w:val="s1"/>
          <w:rFonts w:ascii="Arial" w:eastAsia="Arial" w:hAnsi="Arial" w:cs="Arial"/>
          <w:sz w:val="22"/>
          <w:szCs w:val="22"/>
        </w:rPr>
        <w:t xml:space="preserve"> Ciudadanas —Peticiones, Quejas, Reclamos, Sugerencias y Denuncias (PQRS)—, evaluando su volumen, tipología, oportunidad de respuesta y efectividad en la gestión, e identificando su relación con las principales barreras de acceso a los servicios de salud en Bogotá D. C.</w:t>
      </w:r>
    </w:p>
    <w:p w14:paraId="383CF71C" w14:textId="77777777" w:rsidR="00E436AE" w:rsidRDefault="00E436AE" w:rsidP="00E436AE">
      <w:pPr>
        <w:pStyle w:val="Prrafodelista"/>
        <w:spacing w:line="360" w:lineRule="auto"/>
        <w:ind w:left="360"/>
        <w:jc w:val="both"/>
        <w:rPr>
          <w:rStyle w:val="s1"/>
          <w:rFonts w:ascii="Arial" w:eastAsia="Arial" w:hAnsi="Arial" w:cs="Arial"/>
          <w:sz w:val="22"/>
          <w:szCs w:val="22"/>
        </w:rPr>
      </w:pPr>
    </w:p>
    <w:p w14:paraId="7861EBA8" w14:textId="77777777" w:rsid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Evaluar la gestión del riesgo en salud de </w:t>
      </w:r>
      <w:r w:rsidR="0048032B" w:rsidRPr="00E436AE">
        <w:rPr>
          <w:rStyle w:val="s1"/>
          <w:rFonts w:ascii="Arial" w:eastAsia="Arial" w:hAnsi="Arial" w:cs="Arial"/>
          <w:sz w:val="22"/>
          <w:szCs w:val="22"/>
        </w:rPr>
        <w:t xml:space="preserve">EPS COOSALUD </w:t>
      </w:r>
      <w:r w:rsidRPr="00E436AE">
        <w:rPr>
          <w:rStyle w:val="s1"/>
          <w:rFonts w:ascii="Arial" w:eastAsia="Arial" w:hAnsi="Arial" w:cs="Arial"/>
          <w:sz w:val="22"/>
          <w:szCs w:val="22"/>
        </w:rPr>
        <w:t xml:space="preserve">con énfasis en la implementación de la Ruta Integral de Atención Materno Perinatal, a partir del análisis de eventos trazadores </w:t>
      </w:r>
      <w:r w:rsidR="00425868" w:rsidRPr="00E436AE">
        <w:rPr>
          <w:rStyle w:val="s1"/>
          <w:rFonts w:ascii="Arial" w:eastAsia="Arial" w:hAnsi="Arial" w:cs="Arial"/>
          <w:sz w:val="22"/>
          <w:szCs w:val="22"/>
        </w:rPr>
        <w:t>como</w:t>
      </w:r>
      <w:r w:rsidRPr="00E436AE">
        <w:rPr>
          <w:rStyle w:val="s1"/>
          <w:rFonts w:ascii="Arial" w:eastAsia="Arial" w:hAnsi="Arial" w:cs="Arial"/>
          <w:sz w:val="22"/>
          <w:szCs w:val="22"/>
        </w:rPr>
        <w:t xml:space="preserve"> mortalidad materna</w:t>
      </w:r>
      <w:r w:rsidR="00425868" w:rsidRPr="00E436AE">
        <w:rPr>
          <w:rStyle w:val="s1"/>
          <w:rFonts w:ascii="Arial" w:eastAsia="Arial" w:hAnsi="Arial" w:cs="Arial"/>
          <w:sz w:val="22"/>
          <w:szCs w:val="22"/>
        </w:rPr>
        <w:t xml:space="preserve"> e infantil, así como</w:t>
      </w:r>
      <w:r w:rsidRPr="00E436AE">
        <w:rPr>
          <w:rStyle w:val="s1"/>
          <w:rFonts w:ascii="Arial" w:eastAsia="Arial" w:hAnsi="Arial" w:cs="Arial"/>
          <w:sz w:val="22"/>
          <w:szCs w:val="22"/>
        </w:rPr>
        <w:t xml:space="preserve"> de las acciones de demanda inducida orientadas a la identificación y seguimiento de gestantes en riesgo.</w:t>
      </w:r>
    </w:p>
    <w:p w14:paraId="5F9A80D8" w14:textId="77777777" w:rsidR="00E436AE" w:rsidRPr="00E436AE" w:rsidRDefault="00E436AE" w:rsidP="00E436AE">
      <w:pPr>
        <w:pStyle w:val="Prrafodelista"/>
        <w:rPr>
          <w:rStyle w:val="s1"/>
          <w:rFonts w:ascii="Arial" w:eastAsia="Arial" w:hAnsi="Arial" w:cs="Arial"/>
          <w:sz w:val="22"/>
          <w:szCs w:val="22"/>
          <w:lang w:val="es-ES"/>
        </w:rPr>
      </w:pPr>
    </w:p>
    <w:p w14:paraId="62336377" w14:textId="77777777" w:rsidR="00E436AE" w:rsidRP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lang w:val="es-ES"/>
        </w:rPr>
        <w:t>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687BC204" w14:textId="77777777" w:rsidR="00E436AE" w:rsidRPr="00E436AE" w:rsidRDefault="00E436AE" w:rsidP="00E436AE">
      <w:pPr>
        <w:pStyle w:val="Prrafodelista"/>
        <w:rPr>
          <w:rStyle w:val="s1"/>
          <w:rFonts w:ascii="Arial" w:eastAsia="Arial" w:hAnsi="Arial" w:cs="Arial"/>
          <w:sz w:val="22"/>
          <w:szCs w:val="22"/>
        </w:rPr>
      </w:pPr>
    </w:p>
    <w:p w14:paraId="068FE671" w14:textId="67487813" w:rsidR="00EB3290" w:rsidRPr="00E436AE" w:rsidRDefault="00EB3290"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Analizar la situación financiera y la solvencia de la </w:t>
      </w:r>
      <w:r w:rsidR="00CE2C96" w:rsidRPr="00E436AE">
        <w:rPr>
          <w:rStyle w:val="s1"/>
          <w:rFonts w:ascii="Arial" w:eastAsia="Arial" w:hAnsi="Arial" w:cs="Arial"/>
          <w:sz w:val="22"/>
          <w:szCs w:val="22"/>
        </w:rPr>
        <w:t>EPS</w:t>
      </w:r>
      <w:r w:rsidR="0048032B" w:rsidRPr="00E436AE">
        <w:rPr>
          <w:rStyle w:val="s1"/>
          <w:rFonts w:ascii="Arial" w:eastAsia="Arial" w:hAnsi="Arial" w:cs="Arial"/>
          <w:sz w:val="22"/>
          <w:szCs w:val="22"/>
        </w:rPr>
        <w:t xml:space="preserve"> COOSALUD</w:t>
      </w:r>
      <w:r w:rsidRPr="00E436AE">
        <w:rPr>
          <w:rStyle w:val="s1"/>
          <w:rFonts w:ascii="Arial" w:eastAsia="Arial" w:hAnsi="Arial" w:cs="Arial"/>
          <w:sz w:val="22"/>
          <w:szCs w:val="22"/>
        </w:rPr>
        <w:t xml:space="preserve"> mediante la revisión de sus principales indicadores financieros y su evolución, para valorar su incidencia en la capacidad de la entidad de garantizar la continuidad, oportunidad y calidad en la prestación de los servicios de salud.</w:t>
      </w:r>
    </w:p>
    <w:p w14:paraId="07D4B77D" w14:textId="77777777" w:rsidR="00EB3290" w:rsidRDefault="00EB3290" w:rsidP="006068A2">
      <w:pPr>
        <w:pStyle w:val="Prrafodelista"/>
        <w:spacing w:line="360" w:lineRule="auto"/>
        <w:ind w:left="360"/>
        <w:jc w:val="both"/>
        <w:rPr>
          <w:rStyle w:val="s1"/>
          <w:rFonts w:ascii="Arial" w:eastAsia="Arial" w:hAnsi="Arial" w:cs="Arial"/>
          <w:sz w:val="22"/>
          <w:szCs w:val="22"/>
        </w:rPr>
      </w:pPr>
    </w:p>
    <w:p w14:paraId="40D6F3DA" w14:textId="7D580048" w:rsidR="000C4AE0" w:rsidRPr="006068A2" w:rsidRDefault="70E4FBB1" w:rsidP="006068A2">
      <w:pPr>
        <w:pStyle w:val="Ttulo1"/>
        <w:numPr>
          <w:ilvl w:val="0"/>
          <w:numId w:val="9"/>
        </w:numPr>
        <w:spacing w:before="0" w:line="360" w:lineRule="auto"/>
        <w:jc w:val="both"/>
        <w:rPr>
          <w:rFonts w:ascii="Arial" w:eastAsia="Arial" w:hAnsi="Arial" w:cs="Arial"/>
          <w:b/>
          <w:bCs/>
          <w:color w:val="auto"/>
          <w:sz w:val="22"/>
          <w:szCs w:val="22"/>
        </w:rPr>
      </w:pPr>
      <w:bookmarkStart w:id="19" w:name="_Toc229397835"/>
      <w:r w:rsidRPr="006068A2">
        <w:rPr>
          <w:rFonts w:ascii="Arial" w:eastAsia="Arial" w:hAnsi="Arial" w:cs="Arial"/>
          <w:b/>
          <w:bCs/>
          <w:color w:val="auto"/>
          <w:sz w:val="22"/>
          <w:szCs w:val="22"/>
        </w:rPr>
        <w:t>RECLAMACIONES EN SALUD</w:t>
      </w:r>
      <w:r w:rsidR="005466F0" w:rsidRPr="006068A2">
        <w:rPr>
          <w:rStyle w:val="Refdenotaalpie"/>
          <w:rFonts w:ascii="Arial" w:eastAsia="Arial" w:hAnsi="Arial" w:cs="Arial"/>
          <w:b/>
          <w:bCs/>
          <w:color w:val="auto"/>
          <w:sz w:val="22"/>
          <w:szCs w:val="22"/>
        </w:rPr>
        <w:footnoteReference w:id="5"/>
      </w:r>
      <w:bookmarkEnd w:id="19"/>
      <w:r w:rsidR="3BF92FE6" w:rsidRPr="006068A2">
        <w:rPr>
          <w:rFonts w:ascii="Arial" w:eastAsia="Arial" w:hAnsi="Arial" w:cs="Arial"/>
          <w:b/>
          <w:bCs/>
          <w:color w:val="auto"/>
          <w:sz w:val="22"/>
          <w:szCs w:val="22"/>
        </w:rPr>
        <w:t xml:space="preserve"> </w:t>
      </w:r>
    </w:p>
    <w:p w14:paraId="6FCC29A3" w14:textId="1200157C" w:rsidR="382B01F5" w:rsidRPr="006068A2" w:rsidRDefault="382B01F5" w:rsidP="006068A2">
      <w:pPr>
        <w:spacing w:line="360" w:lineRule="auto"/>
        <w:jc w:val="both"/>
        <w:rPr>
          <w:rFonts w:ascii="Arial" w:eastAsia="Arial" w:hAnsi="Arial" w:cs="Arial"/>
          <w:sz w:val="22"/>
          <w:szCs w:val="22"/>
        </w:rPr>
      </w:pPr>
    </w:p>
    <w:p w14:paraId="4B4537D5" w14:textId="4F62036A" w:rsidR="7551437A" w:rsidRDefault="005D2032" w:rsidP="006068A2">
      <w:pPr>
        <w:spacing w:line="360" w:lineRule="auto"/>
        <w:jc w:val="both"/>
        <w:rPr>
          <w:rFonts w:ascii="Arial" w:eastAsia="Arial" w:hAnsi="Arial" w:cs="Arial"/>
          <w:sz w:val="22"/>
          <w:szCs w:val="22"/>
        </w:rPr>
      </w:pPr>
      <w:r w:rsidRPr="005D2032">
        <w:rPr>
          <w:rFonts w:ascii="Arial" w:eastAsia="Arial" w:hAnsi="Arial" w:cs="Arial"/>
          <w:sz w:val="22"/>
          <w:szCs w:val="22"/>
        </w:rPr>
        <w:t xml:space="preserve">De acuerdo con la información publicada por la Superintendencia Nacional de Salud, COOSALUD EPS en Bogotá D. C. registró para 2025 una tasa de reclamos en salud acumulada en 12 meses de 502,90 por cada 10.000 afiliados, correspondiente a 1.725 reclamos acumulados y un promedio de 34.301 afiliados durante la vigencia. Como se observa en la </w:t>
      </w:r>
      <w:r w:rsidR="00E2542F">
        <w:rPr>
          <w:rFonts w:ascii="Arial" w:eastAsia="Arial" w:hAnsi="Arial" w:cs="Arial"/>
          <w:sz w:val="22"/>
          <w:szCs w:val="22"/>
        </w:rPr>
        <w:t>Gráfica</w:t>
      </w:r>
      <w:r w:rsidRPr="005D2032">
        <w:rPr>
          <w:rFonts w:ascii="Arial" w:eastAsia="Arial" w:hAnsi="Arial" w:cs="Arial"/>
          <w:sz w:val="22"/>
          <w:szCs w:val="22"/>
        </w:rPr>
        <w:t xml:space="preserve"> 3, el comportamiento histórico del indicador entre 2021 y 2025 no fue lineal, sino que presentó dos momentos claramente diferenciados: una reducción gradual entre 2021 y 2023, al pasar de 325,26 a 302,82, seguida de un incremento acelerado en 2024 y 2025, cuando la tasa ascendió a 411,82 y 502,90, respectivamente. En términos acumulados, la tasa aumentó 54,6% entre 2021 y 2025, mientras que la variación anual </w:t>
      </w:r>
      <w:r w:rsidRPr="005D2032">
        <w:rPr>
          <w:rFonts w:ascii="Arial" w:eastAsia="Arial" w:hAnsi="Arial" w:cs="Arial"/>
          <w:sz w:val="22"/>
          <w:szCs w:val="22"/>
        </w:rPr>
        <w:lastRenderedPageBreak/>
        <w:t>promedio simple fue de 12,77%, impulsada principalmente por el fuerte deterioro observado en los dos últimos años del periodo.</w:t>
      </w:r>
    </w:p>
    <w:p w14:paraId="3FEE502D" w14:textId="77777777" w:rsidR="005D2032" w:rsidRPr="006068A2" w:rsidRDefault="005D2032" w:rsidP="006068A2">
      <w:pPr>
        <w:spacing w:line="360" w:lineRule="auto"/>
        <w:jc w:val="both"/>
        <w:rPr>
          <w:rFonts w:ascii="Arial" w:eastAsia="Arial" w:hAnsi="Arial" w:cs="Arial"/>
          <w:sz w:val="22"/>
          <w:szCs w:val="22"/>
        </w:rPr>
      </w:pPr>
    </w:p>
    <w:p w14:paraId="1DFF8F75" w14:textId="2680E4CA" w:rsidR="00B11D92" w:rsidRPr="006068A2" w:rsidRDefault="00E2542F" w:rsidP="00897D61">
      <w:pPr>
        <w:pStyle w:val="Descripcin"/>
        <w:spacing w:after="0" w:line="360" w:lineRule="auto"/>
        <w:jc w:val="both"/>
        <w:rPr>
          <w:rFonts w:ascii="Arial" w:eastAsia="Arial" w:hAnsi="Arial" w:cs="Arial"/>
          <w:sz w:val="22"/>
          <w:szCs w:val="22"/>
        </w:rPr>
      </w:pPr>
      <w:bookmarkStart w:id="20" w:name="_Toc229395921"/>
      <w:r>
        <w:rPr>
          <w:rFonts w:ascii="Arial" w:hAnsi="Arial" w:cs="Arial"/>
          <w:i w:val="0"/>
          <w:iCs w:val="0"/>
          <w:color w:val="auto"/>
          <w:sz w:val="22"/>
          <w:szCs w:val="22"/>
        </w:rPr>
        <w:t>Gráfica</w:t>
      </w:r>
      <w:r w:rsidR="006203BE" w:rsidRPr="006068A2">
        <w:rPr>
          <w:rFonts w:ascii="Arial" w:hAnsi="Arial" w:cs="Arial"/>
          <w:i w:val="0"/>
          <w:iCs w:val="0"/>
          <w:color w:val="auto"/>
          <w:sz w:val="22"/>
          <w:szCs w:val="22"/>
        </w:rPr>
        <w:t xml:space="preserve"> </w:t>
      </w:r>
      <w:r w:rsidR="006203BE" w:rsidRPr="006068A2">
        <w:rPr>
          <w:rFonts w:ascii="Arial" w:hAnsi="Arial" w:cs="Arial"/>
          <w:i w:val="0"/>
          <w:iCs w:val="0"/>
          <w:color w:val="auto"/>
          <w:sz w:val="22"/>
          <w:szCs w:val="22"/>
        </w:rPr>
        <w:fldChar w:fldCharType="begin"/>
      </w:r>
      <w:r w:rsidR="006203BE" w:rsidRPr="006068A2">
        <w:rPr>
          <w:rFonts w:ascii="Arial" w:hAnsi="Arial" w:cs="Arial"/>
          <w:i w:val="0"/>
          <w:iCs w:val="0"/>
          <w:color w:val="auto"/>
          <w:sz w:val="22"/>
          <w:szCs w:val="22"/>
        </w:rPr>
        <w:instrText xml:space="preserve"> SEQ Ilustración \* ARABIC </w:instrText>
      </w:r>
      <w:r w:rsidR="006203BE"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3</w:t>
      </w:r>
      <w:r w:rsidR="006203BE" w:rsidRPr="006068A2">
        <w:rPr>
          <w:rFonts w:ascii="Arial" w:hAnsi="Arial" w:cs="Arial"/>
          <w:i w:val="0"/>
          <w:iCs w:val="0"/>
          <w:color w:val="auto"/>
          <w:sz w:val="22"/>
          <w:szCs w:val="22"/>
        </w:rPr>
        <w:fldChar w:fldCharType="end"/>
      </w:r>
      <w:r w:rsidR="006203BE" w:rsidRPr="006068A2">
        <w:rPr>
          <w:rFonts w:ascii="Arial" w:hAnsi="Arial" w:cs="Arial"/>
          <w:sz w:val="22"/>
          <w:szCs w:val="22"/>
        </w:rPr>
        <w:t xml:space="preserve">. </w:t>
      </w:r>
      <w:r w:rsidR="006203BE" w:rsidRPr="006068A2">
        <w:rPr>
          <w:rFonts w:ascii="Arial" w:hAnsi="Arial" w:cs="Arial"/>
          <w:i w:val="0"/>
          <w:iCs w:val="0"/>
          <w:color w:val="auto"/>
          <w:sz w:val="22"/>
          <w:szCs w:val="22"/>
        </w:rPr>
        <w:t>Tasa de reclamos en salud acumulados en 12 meses Coosalud EPS 2021-2025 – Bogotá D.C.</w:t>
      </w:r>
      <w:bookmarkEnd w:id="20"/>
    </w:p>
    <w:p w14:paraId="1C6906F3" w14:textId="6145511E" w:rsidR="355EE8F9" w:rsidRPr="006068A2" w:rsidRDefault="00C06CA0" w:rsidP="006068A2">
      <w:pPr>
        <w:spacing w:line="360" w:lineRule="auto"/>
        <w:jc w:val="both"/>
        <w:rPr>
          <w:rFonts w:ascii="Arial" w:hAnsi="Arial" w:cs="Arial"/>
          <w:sz w:val="22"/>
          <w:szCs w:val="22"/>
        </w:rPr>
      </w:pPr>
      <w:r w:rsidRPr="00745F0F">
        <w:rPr>
          <w:rFonts w:ascii="Arial" w:hAnsi="Arial" w:cs="Arial"/>
          <w:noProof/>
          <w:sz w:val="22"/>
          <w:szCs w:val="22"/>
          <w:lang w:eastAsia="es-CO"/>
        </w:rPr>
        <mc:AlternateContent>
          <mc:Choice Requires="wpg">
            <w:drawing>
              <wp:anchor distT="0" distB="0" distL="114300" distR="114300" simplePos="0" relativeHeight="251665408" behindDoc="0" locked="0" layoutInCell="1" allowOverlap="1" wp14:anchorId="7ED9BA0F" wp14:editId="4A75995E">
                <wp:simplePos x="0" y="0"/>
                <wp:positionH relativeFrom="column">
                  <wp:posOffset>430031</wp:posOffset>
                </wp:positionH>
                <wp:positionV relativeFrom="paragraph">
                  <wp:posOffset>1951808</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7ED9BA0F" id="Grupo 21" o:spid="_x0000_s1027" style="position:absolute;left:0;text-align:left;margin-left:33.85pt;margin-top:153.7pt;width:383.4pt;height:23.3pt;z-index:251665408;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">
                <v:shapetype id="_x0000_t32" coordsize="21600,21600" o:spt="32" o:oned="t" path="m,l21600,21600e" filled="f">
                  <v:path arrowok="t" fillok="f" o:connecttype="none"/>
                  <o:lock v:ext="edit" shapetype="t"/>
                </v:shapetype>
                <v:shape id="Conector recto de flecha 5" o:spid="_x0000_s1028"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type id="_x0000_t202" coordsize="21600,21600" o:spt="202" path="m,l,21600r21600,l21600,xe">
                  <v:stroke joinstyle="miter"/>
                  <v:path gradientshapeok="t" o:connecttype="rect"/>
                </v:shapetype>
                <v:shape id="CuadroTexto 2" o:spid="_x0000_s1029"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v:textbox>
                </v:shape>
              </v:group>
            </w:pict>
          </mc:Fallback>
        </mc:AlternateContent>
      </w:r>
      <w:r w:rsidR="00E02B53" w:rsidRPr="00844C9C">
        <w:rPr>
          <w:rFonts w:ascii="Arial" w:hAnsi="Arial" w:cs="Arial"/>
          <w:noProof/>
          <w:lang w:eastAsia="es-CO"/>
        </w:rPr>
        <mc:AlternateContent>
          <mc:Choice Requires="wps">
            <w:drawing>
              <wp:anchor distT="0" distB="0" distL="114300" distR="114300" simplePos="0" relativeHeight="251663360" behindDoc="0" locked="0" layoutInCell="1" allowOverlap="1" wp14:anchorId="1FE5DB4F" wp14:editId="0A4CB0F2">
                <wp:simplePos x="0" y="0"/>
                <wp:positionH relativeFrom="column">
                  <wp:posOffset>5129532</wp:posOffset>
                </wp:positionH>
                <wp:positionV relativeFrom="paragraph">
                  <wp:posOffset>824864</wp:posOffset>
                </wp:positionV>
                <wp:extent cx="635634" cy="305437"/>
                <wp:effectExtent l="0" t="25718" r="44133" b="25082"/>
                <wp:wrapNone/>
                <wp:docPr id="15" name="Flecha: a la derecha 15"/>
                <wp:cNvGraphicFramePr/>
                <a:graphic xmlns:a="http://schemas.openxmlformats.org/drawingml/2006/main">
                  <a:graphicData uri="http://schemas.microsoft.com/office/word/2010/wordprocessingShape">
                    <wps:wsp>
                      <wps:cNvSpPr/>
                      <wps:spPr>
                        <a:xfrm rot="16200000">
                          <a:off x="0" y="0"/>
                          <a:ext cx="635634" cy="305437"/>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0DC49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5" o:spid="_x0000_s1026" type="#_x0000_t13" style="position:absolute;margin-left:403.9pt;margin-top:64.95pt;width:50.05pt;height:24.0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" adj="16410" fillcolor="#c00000" strokecolor="#261103 [485]" strokeweight="1pt"/>
            </w:pict>
          </mc:Fallback>
        </mc:AlternateContent>
      </w:r>
      <w:r w:rsidR="00543119" w:rsidRPr="006068A2">
        <w:rPr>
          <w:rFonts w:ascii="Arial" w:hAnsi="Arial" w:cs="Arial"/>
          <w:noProof/>
          <w:sz w:val="22"/>
          <w:szCs w:val="22"/>
          <w:lang w:eastAsia="es-CO"/>
        </w:rPr>
        <w:drawing>
          <wp:inline distT="0" distB="0" distL="0" distR="0" wp14:anchorId="340687E9" wp14:editId="72B453C4">
            <wp:extent cx="5734050" cy="2623457"/>
            <wp:effectExtent l="0" t="0" r="0" b="5715"/>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14185D0" w14:textId="3B6DB5EB" w:rsidR="0A7CDCD5" w:rsidRDefault="0A7CDCD5" w:rsidP="006068A2">
      <w:pPr>
        <w:spacing w:line="360" w:lineRule="auto"/>
        <w:jc w:val="both"/>
        <w:rPr>
          <w:rFonts w:ascii="Arial" w:eastAsia="Arial" w:hAnsi="Arial" w:cs="Arial"/>
          <w:sz w:val="16"/>
          <w:szCs w:val="16"/>
        </w:rPr>
      </w:pPr>
      <w:r w:rsidRPr="00626751">
        <w:rPr>
          <w:rFonts w:ascii="Arial" w:eastAsia="Arial" w:hAnsi="Arial" w:cs="Arial"/>
          <w:sz w:val="16"/>
          <w:szCs w:val="16"/>
        </w:rPr>
        <w:t>Fuente: Reclamos en salud por EPS Histórico Nacional de la Supersalud, consultado</w:t>
      </w:r>
      <w:r w:rsidR="007B4A6B" w:rsidRPr="00626751">
        <w:rPr>
          <w:rFonts w:ascii="Arial" w:eastAsia="Arial" w:hAnsi="Arial" w:cs="Arial"/>
          <w:sz w:val="16"/>
          <w:szCs w:val="16"/>
        </w:rPr>
        <w:t xml:space="preserve"> el 05</w:t>
      </w:r>
      <w:r w:rsidRPr="00626751">
        <w:rPr>
          <w:rFonts w:ascii="Arial" w:eastAsia="Arial" w:hAnsi="Arial" w:cs="Arial"/>
          <w:sz w:val="16"/>
          <w:szCs w:val="16"/>
        </w:rPr>
        <w:t xml:space="preserve"> de </w:t>
      </w:r>
      <w:r w:rsidR="007B4A6B" w:rsidRPr="00626751">
        <w:rPr>
          <w:rFonts w:ascii="Arial" w:eastAsia="Arial" w:hAnsi="Arial" w:cs="Arial"/>
          <w:sz w:val="16"/>
          <w:szCs w:val="16"/>
        </w:rPr>
        <w:t>Mayo</w:t>
      </w:r>
      <w:r w:rsidRPr="00626751">
        <w:rPr>
          <w:rFonts w:ascii="Arial" w:eastAsia="Arial" w:hAnsi="Arial" w:cs="Arial"/>
          <w:sz w:val="16"/>
          <w:szCs w:val="16"/>
        </w:rPr>
        <w:t xml:space="preserve"> </w:t>
      </w:r>
      <w:r w:rsidR="075B8D94" w:rsidRPr="00626751">
        <w:rPr>
          <w:rFonts w:ascii="Arial" w:eastAsia="Arial" w:hAnsi="Arial" w:cs="Arial"/>
          <w:sz w:val="16"/>
          <w:szCs w:val="16"/>
        </w:rPr>
        <w:t xml:space="preserve">de 2026 </w:t>
      </w:r>
      <w:r w:rsidRPr="00626751">
        <w:rPr>
          <w:rFonts w:ascii="Arial" w:eastAsia="Arial" w:hAnsi="Arial" w:cs="Arial"/>
          <w:sz w:val="16"/>
          <w:szCs w:val="16"/>
        </w:rPr>
        <w:t>en:</w:t>
      </w:r>
      <w:r w:rsidR="00543119" w:rsidRPr="00626751">
        <w:rPr>
          <w:rFonts w:ascii="Arial" w:hAnsi="Arial" w:cs="Arial"/>
          <w:sz w:val="16"/>
          <w:szCs w:val="16"/>
        </w:rPr>
        <w:t xml:space="preserve"> </w:t>
      </w:r>
      <w:hyperlink r:id="rId27" w:history="1">
        <w:r w:rsidR="00626751" w:rsidRPr="008F0BB9">
          <w:rPr>
            <w:rStyle w:val="Hipervnculo"/>
            <w:rFonts w:ascii="Arial" w:eastAsia="Arial" w:hAnsi="Arial" w:cs="Arial"/>
            <w:sz w:val="16"/>
            <w:szCs w:val="16"/>
          </w:rPr>
          <w:t>https://app.powerbi.com/view?r=eyJrIjoiYTMwY2Y4ZjEtNWI0MC00YjAxLThjOGUtMjdiYWZhZjVlZjgzIiwidCI6IjE3YzQwYzUxLWIxZGYtNGUyNS04Y2Q2LTlkMGQyNjc4ODMwMCIsImMiOjR9&amp;disablecdnExpiration=1774397302</w:t>
        </w:r>
      </w:hyperlink>
    </w:p>
    <w:p w14:paraId="618F9688" w14:textId="2EE58BDF" w:rsidR="7551437A" w:rsidRPr="006068A2" w:rsidRDefault="7551437A" w:rsidP="006068A2">
      <w:pPr>
        <w:spacing w:line="360" w:lineRule="auto"/>
        <w:jc w:val="both"/>
        <w:rPr>
          <w:rFonts w:ascii="Arial" w:eastAsia="Arial" w:hAnsi="Arial" w:cs="Arial"/>
          <w:sz w:val="22"/>
          <w:szCs w:val="22"/>
        </w:rPr>
      </w:pPr>
    </w:p>
    <w:p w14:paraId="28AA8960" w14:textId="532A0ECC" w:rsidR="007B4A6B" w:rsidRPr="006068A2" w:rsidRDefault="00F22EBE" w:rsidP="006068A2">
      <w:pPr>
        <w:spacing w:line="360" w:lineRule="auto"/>
        <w:jc w:val="both"/>
        <w:rPr>
          <w:rFonts w:ascii="Arial" w:eastAsia="Arial" w:hAnsi="Arial" w:cs="Arial"/>
          <w:sz w:val="22"/>
          <w:szCs w:val="22"/>
        </w:rPr>
      </w:pPr>
      <w:r w:rsidRPr="00F22EBE">
        <w:rPr>
          <w:rFonts w:ascii="Arial" w:eastAsia="Arial" w:hAnsi="Arial" w:cs="Arial"/>
          <w:sz w:val="22"/>
          <w:szCs w:val="22"/>
        </w:rPr>
        <w:t>Según la información reportada por la Superintendencia Nacional de Salud para 2025, COOSALUD EPS ocupó el sexto lugar entre las EPS con mayor tasa de reclamos en salud en Bogotá D. C., al registrar 502,90 reclamos por cada 10.000 afiliados</w:t>
      </w:r>
      <w:r w:rsidR="00F0410F">
        <w:rPr>
          <w:rFonts w:ascii="Arial" w:eastAsia="Arial" w:hAnsi="Arial" w:cs="Arial"/>
          <w:sz w:val="22"/>
          <w:szCs w:val="22"/>
        </w:rPr>
        <w:t xml:space="preserve"> (n=1.725 reclamos)</w:t>
      </w:r>
      <w:r w:rsidRPr="00F22EBE">
        <w:rPr>
          <w:rFonts w:ascii="Arial" w:eastAsia="Arial" w:hAnsi="Arial" w:cs="Arial"/>
          <w:sz w:val="22"/>
          <w:szCs w:val="22"/>
        </w:rPr>
        <w:t>. Aunque este valor se ubica por debajo de la tasa promedio distrital, estimada en 560,67 por cada 10.000 afiliados, su comportamiento sigue siendo relevante en términos de seguimiento, especialmente por el incremento observado en los últimos años y por el volumen de reclamaciones acumuladas. En este sentido, el resultado amerita fortalecer acciones de vigilancia y gestión correctiva orientadas a identificar y atender las causas que están incrementando la recurrencia de reclamos.</w:t>
      </w:r>
    </w:p>
    <w:p w14:paraId="014AE56B" w14:textId="25E28974" w:rsidR="3FE75128" w:rsidRPr="006068A2" w:rsidRDefault="3FE75128" w:rsidP="006068A2">
      <w:pPr>
        <w:spacing w:line="360" w:lineRule="auto"/>
        <w:jc w:val="both"/>
        <w:rPr>
          <w:rFonts w:ascii="Arial" w:eastAsia="Arial" w:hAnsi="Arial" w:cs="Arial"/>
          <w:sz w:val="22"/>
          <w:szCs w:val="22"/>
        </w:rPr>
      </w:pPr>
    </w:p>
    <w:p w14:paraId="66688682" w14:textId="25289B43" w:rsidR="000C4AE0" w:rsidRPr="006068A2" w:rsidRDefault="2AD05CC0" w:rsidP="006068A2">
      <w:pPr>
        <w:pStyle w:val="Ttulo2"/>
        <w:numPr>
          <w:ilvl w:val="1"/>
          <w:numId w:val="9"/>
        </w:numPr>
        <w:spacing w:before="0" w:line="360" w:lineRule="auto"/>
        <w:jc w:val="both"/>
        <w:rPr>
          <w:rFonts w:ascii="Arial" w:eastAsia="Arial" w:hAnsi="Arial" w:cs="Arial"/>
          <w:b/>
          <w:bCs/>
          <w:color w:val="auto"/>
          <w:sz w:val="22"/>
          <w:szCs w:val="22"/>
        </w:rPr>
      </w:pPr>
      <w:bookmarkStart w:id="21" w:name="_Toc222732190"/>
      <w:bookmarkStart w:id="22" w:name="_Toc229397836"/>
      <w:bookmarkStart w:id="23" w:name="OLE_LINK9"/>
      <w:bookmarkEnd w:id="21"/>
      <w:r w:rsidRPr="006068A2">
        <w:rPr>
          <w:rFonts w:ascii="Arial" w:eastAsia="Arial" w:hAnsi="Arial" w:cs="Arial"/>
          <w:b/>
          <w:bCs/>
          <w:color w:val="auto"/>
          <w:sz w:val="22"/>
          <w:szCs w:val="22"/>
        </w:rPr>
        <w:t>Comportamie</w:t>
      </w:r>
      <w:r w:rsidR="58A36B8E" w:rsidRPr="006068A2">
        <w:rPr>
          <w:rFonts w:ascii="Arial" w:eastAsia="Arial" w:hAnsi="Arial" w:cs="Arial"/>
          <w:b/>
          <w:bCs/>
          <w:color w:val="auto"/>
          <w:sz w:val="22"/>
          <w:szCs w:val="22"/>
        </w:rPr>
        <w:t xml:space="preserve">nto de las </w:t>
      </w:r>
      <w:r w:rsidR="5709EAE4" w:rsidRPr="006068A2">
        <w:rPr>
          <w:rFonts w:ascii="Arial" w:eastAsia="Arial" w:hAnsi="Arial" w:cs="Arial"/>
          <w:b/>
          <w:bCs/>
          <w:color w:val="auto"/>
          <w:sz w:val="22"/>
          <w:szCs w:val="22"/>
        </w:rPr>
        <w:t>Reclamaciones</w:t>
      </w:r>
      <w:r w:rsidRPr="006068A2">
        <w:rPr>
          <w:rFonts w:ascii="Arial" w:eastAsia="Arial" w:hAnsi="Arial" w:cs="Arial"/>
          <w:b/>
          <w:bCs/>
          <w:color w:val="auto"/>
          <w:sz w:val="22"/>
          <w:szCs w:val="22"/>
        </w:rPr>
        <w:t xml:space="preserve"> – </w:t>
      </w:r>
      <w:r w:rsidR="5E370D58" w:rsidRPr="006068A2">
        <w:rPr>
          <w:rFonts w:ascii="Arial" w:eastAsia="Arial" w:hAnsi="Arial" w:cs="Arial"/>
          <w:b/>
          <w:bCs/>
          <w:color w:val="auto"/>
          <w:sz w:val="22"/>
          <w:szCs w:val="22"/>
        </w:rPr>
        <w:t>COOSALUD</w:t>
      </w:r>
      <w:r w:rsidR="2BCA3E73" w:rsidRPr="006068A2">
        <w:rPr>
          <w:rFonts w:ascii="Arial" w:eastAsia="Arial" w:hAnsi="Arial" w:cs="Arial"/>
          <w:b/>
          <w:bCs/>
          <w:color w:val="auto"/>
          <w:sz w:val="22"/>
          <w:szCs w:val="22"/>
        </w:rPr>
        <w:t xml:space="preserve"> </w:t>
      </w:r>
      <w:r w:rsidR="401FC128" w:rsidRPr="006068A2">
        <w:rPr>
          <w:rFonts w:ascii="Arial" w:eastAsia="Arial" w:hAnsi="Arial" w:cs="Arial"/>
          <w:b/>
          <w:bCs/>
          <w:color w:val="auto"/>
          <w:sz w:val="22"/>
          <w:szCs w:val="22"/>
        </w:rPr>
        <w:t>EPS</w:t>
      </w:r>
      <w:r w:rsidR="00420A4E" w:rsidRPr="006068A2">
        <w:rPr>
          <w:rStyle w:val="Refdenotaalpie"/>
          <w:rFonts w:ascii="Arial" w:eastAsia="Arial" w:hAnsi="Arial" w:cs="Arial"/>
          <w:b/>
          <w:bCs/>
          <w:color w:val="auto"/>
          <w:sz w:val="22"/>
          <w:szCs w:val="22"/>
        </w:rPr>
        <w:footnoteReference w:id="6"/>
      </w:r>
      <w:bookmarkEnd w:id="22"/>
    </w:p>
    <w:p w14:paraId="60973240" w14:textId="77777777" w:rsidR="002C7124" w:rsidRDefault="002C7124" w:rsidP="006068A2">
      <w:pPr>
        <w:spacing w:line="360" w:lineRule="auto"/>
        <w:jc w:val="both"/>
        <w:rPr>
          <w:rFonts w:ascii="Arial" w:eastAsia="Arial" w:hAnsi="Arial" w:cs="Arial"/>
          <w:sz w:val="22"/>
          <w:szCs w:val="22"/>
          <w:lang w:val="es-MX"/>
        </w:rPr>
      </w:pPr>
    </w:p>
    <w:p w14:paraId="5BF2DA4C" w14:textId="52820218" w:rsidR="000C4AE0" w:rsidRPr="006068A2" w:rsidRDefault="39EBFBEC" w:rsidP="006068A2">
      <w:pPr>
        <w:spacing w:line="360" w:lineRule="auto"/>
        <w:jc w:val="both"/>
        <w:rPr>
          <w:rFonts w:ascii="Arial" w:eastAsia="Arial" w:hAnsi="Arial" w:cs="Arial"/>
          <w:sz w:val="22"/>
          <w:szCs w:val="22"/>
          <w:lang w:val="es-MX"/>
        </w:rPr>
      </w:pPr>
      <w:r w:rsidRPr="006068A2">
        <w:rPr>
          <w:rFonts w:ascii="Arial" w:eastAsia="Arial" w:hAnsi="Arial" w:cs="Arial"/>
          <w:sz w:val="22"/>
          <w:szCs w:val="22"/>
          <w:lang w:val="es-MX"/>
        </w:rPr>
        <w:lastRenderedPageBreak/>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7A4A9707" w14:textId="12DF0A5E" w:rsidR="000C4AE0" w:rsidRPr="006068A2" w:rsidRDefault="39EBFBEC" w:rsidP="006068A2">
      <w:p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55E6252" w14:textId="2324DEF1" w:rsidR="000C4AE0" w:rsidRPr="006068A2" w:rsidRDefault="39EBFBEC" w:rsidP="006068A2">
      <w:pPr>
        <w:pStyle w:val="Prrafodelista"/>
        <w:numPr>
          <w:ilvl w:val="0"/>
          <w:numId w:val="10"/>
        </w:numPr>
        <w:spacing w:line="360" w:lineRule="auto"/>
        <w:jc w:val="both"/>
        <w:rPr>
          <w:rFonts w:ascii="Arial" w:eastAsia="Arial" w:hAnsi="Arial" w:cs="Arial"/>
          <w:b/>
          <w:bCs/>
          <w:i/>
          <w:iCs/>
          <w:sz w:val="22"/>
          <w:szCs w:val="22"/>
          <w:lang w:val="es-MX"/>
        </w:rPr>
      </w:pPr>
      <w:r w:rsidRPr="006068A2">
        <w:rPr>
          <w:rFonts w:ascii="Arial" w:eastAsia="Arial" w:hAnsi="Arial" w:cs="Arial"/>
          <w:i/>
          <w:iCs/>
          <w:sz w:val="22"/>
          <w:szCs w:val="22"/>
          <w:lang w:val="es-MX"/>
        </w:rPr>
        <w:t xml:space="preserve">Reclamos de riesgo vital: Estos reclamos en salud deberán ser resueltos de manera inmediata y en todo caso no podrán superar el término máximo de veinticuatro </w:t>
      </w:r>
      <w:r w:rsidRPr="006068A2">
        <w:rPr>
          <w:rFonts w:ascii="Arial" w:eastAsia="Arial" w:hAnsi="Arial" w:cs="Arial"/>
          <w:b/>
          <w:bCs/>
          <w:i/>
          <w:iCs/>
          <w:sz w:val="22"/>
          <w:szCs w:val="22"/>
          <w:lang w:val="es-MX"/>
        </w:rPr>
        <w:t xml:space="preserve">(24) horas. </w:t>
      </w:r>
    </w:p>
    <w:p w14:paraId="1A979E48" w14:textId="550FA882"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priorizado: Estos reclamos en salud deberán ser resueltos y, en todo caso no podrán superar el término máximo de cuarenta y ocho </w:t>
      </w:r>
      <w:r w:rsidRPr="006068A2">
        <w:rPr>
          <w:rFonts w:ascii="Arial" w:eastAsia="Arial" w:hAnsi="Arial" w:cs="Arial"/>
          <w:b/>
          <w:bCs/>
          <w:i/>
          <w:iCs/>
          <w:sz w:val="22"/>
          <w:szCs w:val="22"/>
          <w:lang w:val="es-MX"/>
        </w:rPr>
        <w:t>(48) horas</w:t>
      </w:r>
      <w:r w:rsidRPr="006068A2">
        <w:rPr>
          <w:rFonts w:ascii="Arial" w:eastAsia="Arial" w:hAnsi="Arial" w:cs="Arial"/>
          <w:i/>
          <w:iCs/>
          <w:sz w:val="22"/>
          <w:szCs w:val="22"/>
          <w:lang w:val="es-MX"/>
        </w:rPr>
        <w:t>.</w:t>
      </w:r>
    </w:p>
    <w:p w14:paraId="53BCB4FD" w14:textId="530F1B96"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6068A2">
        <w:rPr>
          <w:rFonts w:ascii="Arial" w:eastAsia="Arial" w:hAnsi="Arial" w:cs="Arial"/>
          <w:b/>
          <w:bCs/>
          <w:i/>
          <w:iCs/>
          <w:sz w:val="22"/>
          <w:szCs w:val="22"/>
          <w:lang w:val="es-MX"/>
        </w:rPr>
        <w:t>(72) horas</w:t>
      </w:r>
      <w:r w:rsidRPr="006068A2">
        <w:rPr>
          <w:rFonts w:ascii="Arial" w:eastAsia="Arial" w:hAnsi="Arial" w:cs="Arial"/>
          <w:i/>
          <w:iCs/>
          <w:sz w:val="22"/>
          <w:szCs w:val="22"/>
          <w:lang w:val="es-MX"/>
        </w:rPr>
        <w:t xml:space="preserve"> a partir de la fecha de radicación.</w:t>
      </w:r>
    </w:p>
    <w:p w14:paraId="18D7C137" w14:textId="620AB0E2" w:rsidR="000C4AE0" w:rsidRPr="006068A2" w:rsidRDefault="39EBFBEC" w:rsidP="006068A2">
      <w:pPr>
        <w:pStyle w:val="Prrafodelista"/>
        <w:numPr>
          <w:ilvl w:val="0"/>
          <w:numId w:val="10"/>
        </w:numPr>
        <w:spacing w:line="360" w:lineRule="auto"/>
        <w:jc w:val="both"/>
        <w:rPr>
          <w:rFonts w:ascii="Arial" w:eastAsia="Arial" w:hAnsi="Arial" w:cs="Arial"/>
          <w:sz w:val="22"/>
          <w:szCs w:val="22"/>
          <w:lang w:val="es-MX"/>
        </w:rPr>
      </w:pPr>
      <w:r w:rsidRPr="006068A2">
        <w:rPr>
          <w:rFonts w:ascii="Arial" w:eastAsia="Arial" w:hAnsi="Arial" w:cs="Arial"/>
          <w:i/>
          <w:iCs/>
          <w:sz w:val="22"/>
          <w:szCs w:val="22"/>
          <w:lang w:val="es-MX"/>
        </w:rPr>
        <w:t xml:space="preserve">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w:t>
      </w:r>
      <w:r w:rsidRPr="006068A2">
        <w:rPr>
          <w:rFonts w:ascii="Arial" w:eastAsia="Arial" w:hAnsi="Arial" w:cs="Arial"/>
          <w:sz w:val="22"/>
          <w:szCs w:val="22"/>
          <w:lang w:val="es-MX"/>
        </w:rPr>
        <w:t>Ley 1755 de 2015</w:t>
      </w:r>
    </w:p>
    <w:p w14:paraId="0C6C1BC2" w14:textId="36606F23" w:rsidR="000C4AE0" w:rsidRPr="006068A2" w:rsidRDefault="39EBFBEC" w:rsidP="006068A2">
      <w:pPr>
        <w:spacing w:line="360" w:lineRule="auto"/>
        <w:ind w:left="360"/>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4CA13CE"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En el marco del seguimiento a las metas del Plan Distrital de Desarrollo “Bogotá Camina Segura 2024–2027”, en especial a aquellas orientadas a fortalecer la experiencia del usuario en el proceso de atención en salud, se analizó el comportamiento de las Peticiones, Quejas, Reclamos y Sugerencias (PQRS) gestionadas por COOSALUD EPS durante la vigencia 2025. Este análisis permite valorar el desempeño institucional de la entidad en aspectos relacionados con la oportunidad de respuesta, la identificación de barreras de acceso y las posibles afectaciones sobre la experiencia de los usuarios en la prestación de los servicios de salud.</w:t>
      </w:r>
    </w:p>
    <w:p w14:paraId="26435627" w14:textId="77777777" w:rsidR="00A35E8D" w:rsidRDefault="00A35E8D" w:rsidP="00A35E8D">
      <w:pPr>
        <w:spacing w:line="360" w:lineRule="auto"/>
        <w:jc w:val="both"/>
        <w:rPr>
          <w:rFonts w:ascii="Arial" w:eastAsia="Arial" w:hAnsi="Arial" w:cs="Arial"/>
          <w:sz w:val="22"/>
          <w:szCs w:val="22"/>
          <w:lang w:val="es-ES"/>
        </w:rPr>
      </w:pPr>
    </w:p>
    <w:p w14:paraId="776690B0"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Para el año 2025, COOSALUD EPS registró en Bogotá D. C. una población afiliada de 34.472 usuarios y un total de 3.368 PQRS, lo que equivale a una tasa de 97,7 PQRS por cada 1.000 afiliados, aproximada a 98 por cada 1.000. Este resultado evidencia una carga </w:t>
      </w:r>
      <w:r w:rsidRPr="00A35E8D">
        <w:rPr>
          <w:rFonts w:ascii="Arial" w:eastAsia="Arial" w:hAnsi="Arial" w:cs="Arial"/>
          <w:sz w:val="22"/>
          <w:szCs w:val="22"/>
          <w:lang w:val="es-ES"/>
        </w:rPr>
        <w:lastRenderedPageBreak/>
        <w:t>importante de requerimientos ciudadanos en relación con el volumen de población afiliada y constituye un insumo relevante para identificar fallas recurrentes en el acceso, la oportunidad, la continuidad de la atención y la calidad percibida en la prestación de los servicios de salud. En este sentido, el comportamiento de las PQRS no solo refleja el nivel de interacción e inconformidad de los usuarios frente a la EPS, sino que también aporta elementos para orientar acciones de seguimiento, control y mejora sobre los factores que están generando insatisfacción o afectación en la experiencia de atención.</w:t>
      </w:r>
    </w:p>
    <w:p w14:paraId="1A0890FE" w14:textId="77777777" w:rsidR="00A35E8D" w:rsidRPr="00A35E8D" w:rsidRDefault="00A35E8D" w:rsidP="00A35E8D">
      <w:pPr>
        <w:spacing w:line="360" w:lineRule="auto"/>
        <w:jc w:val="both"/>
        <w:rPr>
          <w:rFonts w:ascii="Arial" w:eastAsia="Arial" w:hAnsi="Arial" w:cs="Arial"/>
          <w:sz w:val="22"/>
          <w:szCs w:val="22"/>
          <w:lang w:val="es-ES"/>
        </w:rPr>
      </w:pPr>
    </w:p>
    <w:p w14:paraId="34C99B63" w14:textId="19078E5C"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Datos clave</w:t>
      </w:r>
      <w:r>
        <w:rPr>
          <w:rFonts w:ascii="Arial" w:eastAsia="Arial" w:hAnsi="Arial" w:cs="Arial"/>
          <w:sz w:val="22"/>
          <w:szCs w:val="22"/>
          <w:lang w:val="es-ES"/>
        </w:rPr>
        <w:t xml:space="preserve">: </w:t>
      </w:r>
    </w:p>
    <w:p w14:paraId="11539833" w14:textId="77777777" w:rsidR="00A35E8D" w:rsidRPr="00A35E8D" w:rsidRDefault="00A35E8D" w:rsidP="00A35E8D">
      <w:pPr>
        <w:spacing w:line="360" w:lineRule="auto"/>
        <w:jc w:val="both"/>
        <w:rPr>
          <w:rFonts w:ascii="Arial" w:eastAsia="Arial" w:hAnsi="Arial" w:cs="Arial"/>
          <w:sz w:val="22"/>
          <w:szCs w:val="22"/>
          <w:lang w:val="es-ES"/>
        </w:rPr>
      </w:pPr>
    </w:p>
    <w:p w14:paraId="355AEAB9"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Población afiliada (31 de diciembre de 2025): 34.472 usuarios </w:t>
      </w:r>
    </w:p>
    <w:p w14:paraId="7BEB992A" w14:textId="4A3EF675" w:rsidR="00A35E8D" w:rsidRPr="00A35E8D" w:rsidRDefault="00300C3E"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Total,</w:t>
      </w:r>
      <w:r w:rsidR="00A35E8D" w:rsidRPr="00A35E8D">
        <w:rPr>
          <w:rFonts w:ascii="Arial" w:eastAsia="Arial" w:hAnsi="Arial" w:cs="Arial"/>
          <w:sz w:val="22"/>
          <w:szCs w:val="22"/>
          <w:lang w:val="es-ES"/>
        </w:rPr>
        <w:t xml:space="preserve"> de PQRS registradas: 3.368 </w:t>
      </w:r>
    </w:p>
    <w:p w14:paraId="185FD7EC"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Tasa de PQRS: 97,7 por cada 1.000 afiliados (aproximadamente 98 por cada 1.000) </w:t>
      </w:r>
    </w:p>
    <w:p w14:paraId="3C80B14A" w14:textId="77777777" w:rsidR="00A35E8D" w:rsidRDefault="00A35E8D" w:rsidP="00A35E8D">
      <w:pPr>
        <w:spacing w:line="360" w:lineRule="auto"/>
        <w:jc w:val="both"/>
        <w:rPr>
          <w:rFonts w:ascii="Arial" w:eastAsia="Arial" w:hAnsi="Arial" w:cs="Arial"/>
          <w:sz w:val="22"/>
          <w:szCs w:val="22"/>
          <w:lang w:val="es-ES"/>
        </w:rPr>
      </w:pPr>
    </w:p>
    <w:p w14:paraId="2FEB2F5C" w14:textId="55AF2DE6" w:rsidR="00A35E8D" w:rsidRP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En síntesis, el volumen y la tasa de PQRS registradas por COOSALUD EPS durante 2025 constituyen una señal relevante sobre la existencia de tensiones en la relación entre la entidad y sus afiliados, así como sobre posibles fallas en la garantía efectiva del acceso y en la experiencia de atención. Si bien este indicador no permite por sí solo establecer la causa específica de las inconformidades, sí evidencia la necesidad de profundizar en los motivos más frecuentes de reclamación y de fortalecer las acciones correctivas orientadas a mejorar la oportunidad de respuesta, reducir barreras de acceso y mitigar factores que puedan afectar la continuidad y calidad de la atención en salud de la población afiliada en Bogotá D. C.</w:t>
      </w:r>
    </w:p>
    <w:p w14:paraId="7EF8D3D5" w14:textId="60FA2CE3" w:rsidR="000C4AE0" w:rsidRDefault="000C4AE0" w:rsidP="006068A2">
      <w:pPr>
        <w:spacing w:line="360" w:lineRule="auto"/>
        <w:jc w:val="both"/>
        <w:rPr>
          <w:rFonts w:ascii="Arial" w:eastAsia="Arial" w:hAnsi="Arial" w:cs="Arial"/>
          <w:sz w:val="22"/>
          <w:szCs w:val="22"/>
          <w:lang w:val="es-ES" w:eastAsia="es-CO"/>
        </w:rPr>
      </w:pPr>
    </w:p>
    <w:p w14:paraId="19058BCA" w14:textId="61997895" w:rsidR="00E00714"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4" w:name="_Toc229397837"/>
      <w:r w:rsidRPr="006068A2">
        <w:rPr>
          <w:rFonts w:ascii="Arial" w:eastAsia="Arial" w:hAnsi="Arial" w:cs="Arial"/>
          <w:b/>
          <w:bCs/>
          <w:color w:val="auto"/>
          <w:sz w:val="22"/>
          <w:szCs w:val="22"/>
        </w:rPr>
        <w:t xml:space="preserve">Oportunidad en la respuesta a las </w:t>
      </w:r>
      <w:r w:rsidR="53D1764F" w:rsidRPr="006068A2">
        <w:rPr>
          <w:rFonts w:ascii="Arial" w:eastAsia="Arial" w:hAnsi="Arial" w:cs="Arial"/>
          <w:b/>
          <w:bCs/>
          <w:color w:val="auto"/>
          <w:sz w:val="22"/>
          <w:szCs w:val="22"/>
        </w:rPr>
        <w:t>PQRSD</w:t>
      </w:r>
      <w:r w:rsidRPr="006068A2">
        <w:rPr>
          <w:rFonts w:ascii="Arial" w:eastAsia="Arial" w:hAnsi="Arial" w:cs="Arial"/>
          <w:b/>
          <w:bCs/>
          <w:color w:val="auto"/>
          <w:sz w:val="22"/>
          <w:szCs w:val="22"/>
        </w:rPr>
        <w:t xml:space="preserve"> (Indicadores)</w:t>
      </w:r>
      <w:bookmarkEnd w:id="24"/>
    </w:p>
    <w:p w14:paraId="7D3FE93A" w14:textId="77777777" w:rsidR="002B65B6" w:rsidRPr="006068A2" w:rsidRDefault="002B65B6" w:rsidP="006068A2">
      <w:pPr>
        <w:spacing w:line="360" w:lineRule="auto"/>
        <w:jc w:val="both"/>
        <w:rPr>
          <w:rFonts w:ascii="Arial" w:eastAsia="Arial" w:hAnsi="Arial" w:cs="Arial"/>
          <w:sz w:val="22"/>
          <w:szCs w:val="22"/>
          <w:lang w:val="es-ES"/>
        </w:rPr>
      </w:pPr>
    </w:p>
    <w:p w14:paraId="22277187" w14:textId="793EDA8B" w:rsidR="0054461B" w:rsidRPr="0054461B" w:rsidRDefault="00EC23D9" w:rsidP="0054461B">
      <w:pPr>
        <w:spacing w:line="360" w:lineRule="auto"/>
        <w:jc w:val="both"/>
        <w:rPr>
          <w:rFonts w:ascii="Arial" w:eastAsia="Arial" w:hAnsi="Arial" w:cs="Arial"/>
          <w:sz w:val="22"/>
          <w:szCs w:val="22"/>
          <w:lang w:val="es-ES"/>
        </w:rPr>
      </w:pPr>
      <w:r w:rsidRPr="00EC23D9">
        <w:rPr>
          <w:rFonts w:ascii="Arial" w:eastAsia="Arial" w:hAnsi="Arial" w:cs="Arial"/>
          <w:sz w:val="22"/>
          <w:szCs w:val="22"/>
        </w:rPr>
        <w:t>Con el propósito de evaluar la oportunidad en la respuesta a las Peticiones, Quejas, Reclamos y Sugerencias (PQRS)</w:t>
      </w:r>
      <w:r w:rsidR="00997670">
        <w:rPr>
          <w:rFonts w:ascii="Arial" w:eastAsia="Arial" w:hAnsi="Arial" w:cs="Arial"/>
          <w:sz w:val="22"/>
          <w:szCs w:val="22"/>
        </w:rPr>
        <w:t>;</w:t>
      </w:r>
      <w:r w:rsidRPr="00EC23D9">
        <w:rPr>
          <w:rFonts w:ascii="Arial" w:eastAsia="Arial" w:hAnsi="Arial" w:cs="Arial"/>
          <w:sz w:val="22"/>
          <w:szCs w:val="22"/>
        </w:rPr>
        <w:t xml:space="preserve"> a </w:t>
      </w:r>
      <w:r w:rsidR="00997670" w:rsidRPr="00EC23D9">
        <w:rPr>
          <w:rFonts w:ascii="Arial" w:eastAsia="Arial" w:hAnsi="Arial" w:cs="Arial"/>
          <w:sz w:val="22"/>
          <w:szCs w:val="22"/>
        </w:rPr>
        <w:t>continuación,</w:t>
      </w:r>
      <w:r w:rsidRPr="00EC23D9">
        <w:rPr>
          <w:rFonts w:ascii="Arial" w:eastAsia="Arial" w:hAnsi="Arial" w:cs="Arial"/>
          <w:sz w:val="22"/>
          <w:szCs w:val="22"/>
        </w:rPr>
        <w:t xml:space="preserve"> se presenta el porcentaje de incumplimiento en los tiempos de respuesta, discriminado por tipo de manifestación</w:t>
      </w:r>
      <w:r w:rsidR="0054461B" w:rsidRPr="0054461B">
        <w:rPr>
          <w:rFonts w:ascii="Arial" w:eastAsia="Arial" w:hAnsi="Arial" w:cs="Arial"/>
          <w:sz w:val="22"/>
          <w:szCs w:val="22"/>
          <w:lang w:val="es-ES"/>
        </w:rPr>
        <w:t>. El análisis se realiza con base en los términos establecidos en la Ley 1755 de 2015 y en la Circular 2023151000000105 de la Superintendencia Nacional de Salud, que definen tiempos diferenciales de respuesta según la clasificación del riesgo de cada manifestación.</w:t>
      </w:r>
    </w:p>
    <w:p w14:paraId="5E3B1452" w14:textId="77777777" w:rsidR="0054461B" w:rsidRPr="0054461B" w:rsidRDefault="0054461B" w:rsidP="0054461B">
      <w:pPr>
        <w:spacing w:line="360" w:lineRule="auto"/>
        <w:jc w:val="both"/>
        <w:rPr>
          <w:rFonts w:ascii="Arial" w:eastAsia="Arial" w:hAnsi="Arial" w:cs="Arial"/>
          <w:sz w:val="22"/>
          <w:szCs w:val="22"/>
          <w:lang w:val="es-ES"/>
        </w:rPr>
      </w:pPr>
    </w:p>
    <w:p w14:paraId="1A9F6D94" w14:textId="1B87642F" w:rsidR="00C824FC" w:rsidRDefault="0054461B" w:rsidP="0054461B">
      <w:pPr>
        <w:spacing w:line="360" w:lineRule="auto"/>
        <w:jc w:val="both"/>
        <w:rPr>
          <w:rFonts w:ascii="Arial" w:eastAsia="Arial" w:hAnsi="Arial" w:cs="Arial"/>
          <w:sz w:val="22"/>
          <w:szCs w:val="22"/>
          <w:lang w:val="es-ES"/>
        </w:rPr>
      </w:pPr>
      <w:r w:rsidRPr="0054461B">
        <w:rPr>
          <w:rFonts w:ascii="Arial" w:eastAsia="Arial" w:hAnsi="Arial" w:cs="Arial"/>
          <w:sz w:val="22"/>
          <w:szCs w:val="22"/>
          <w:lang w:val="es-ES"/>
        </w:rPr>
        <w:lastRenderedPageBreak/>
        <w:t>La información permite valorar el grado de cumplimiento normativo de COOSALUD EPS frente a la gestión de las PQRS y dimensionar el impacto de los retrasos en la atención de las manifestaciones, especialmente en aquellas clasificadas como riesgo vital y riesgo priorizado, cuya inoportunidad puede comprometer de manera más directa la protección del derecho fundamental a la salud y la prestación adecuada del servicio.</w:t>
      </w:r>
    </w:p>
    <w:p w14:paraId="5FA7CA9C" w14:textId="77777777" w:rsidR="0054461B" w:rsidRPr="006068A2" w:rsidRDefault="0054461B" w:rsidP="0054461B">
      <w:pPr>
        <w:spacing w:line="360" w:lineRule="auto"/>
        <w:jc w:val="both"/>
        <w:rPr>
          <w:rFonts w:ascii="Arial" w:eastAsia="Arial" w:hAnsi="Arial" w:cs="Arial"/>
          <w:b/>
          <w:bCs/>
          <w:sz w:val="22"/>
          <w:szCs w:val="22"/>
          <w:lang w:val="es-ES"/>
        </w:rPr>
      </w:pPr>
    </w:p>
    <w:p w14:paraId="65493396" w14:textId="4208005A" w:rsidR="4CE92E66" w:rsidRPr="006068A2" w:rsidRDefault="006203BE" w:rsidP="003F3C8F">
      <w:pPr>
        <w:pStyle w:val="Descripcin"/>
        <w:spacing w:after="0" w:line="360" w:lineRule="auto"/>
        <w:jc w:val="both"/>
        <w:rPr>
          <w:rFonts w:ascii="Arial" w:eastAsia="Arial" w:hAnsi="Arial" w:cs="Arial"/>
          <w:i w:val="0"/>
          <w:iCs w:val="0"/>
          <w:color w:val="000000" w:themeColor="text1"/>
          <w:sz w:val="22"/>
          <w:szCs w:val="22"/>
          <w:lang w:val="es-ES"/>
        </w:rPr>
      </w:pPr>
      <w:bookmarkStart w:id="25" w:name="_Toc229395864"/>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7</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Porcentaje de Incumplimiento en la respuesta por Tipo de PQRS</w:t>
      </w:r>
      <w:bookmarkEnd w:id="25"/>
    </w:p>
    <w:p w14:paraId="1625DC26" w14:textId="77777777" w:rsidR="00C824FC" w:rsidRPr="006068A2" w:rsidRDefault="00C824FC" w:rsidP="006068A2">
      <w:pPr>
        <w:spacing w:line="360" w:lineRule="auto"/>
        <w:rPr>
          <w:rFonts w:ascii="Arial" w:hAnsi="Arial" w:cs="Arial"/>
          <w:sz w:val="22"/>
          <w:szCs w:val="22"/>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1343"/>
        <w:gridCol w:w="1959"/>
        <w:gridCol w:w="1859"/>
      </w:tblGrid>
      <w:tr w:rsidR="5161137D" w:rsidRPr="006068A2" w14:paraId="7CCFF779" w14:textId="77777777" w:rsidTr="00300C3E">
        <w:trPr>
          <w:trHeight w:val="557"/>
          <w:jc w:val="center"/>
        </w:trPr>
        <w:tc>
          <w:tcPr>
            <w:tcW w:w="3405" w:type="dxa"/>
            <w:tcMar>
              <w:left w:w="70" w:type="dxa"/>
              <w:right w:w="70" w:type="dxa"/>
            </w:tcMar>
            <w:vAlign w:val="center"/>
          </w:tcPr>
          <w:p w14:paraId="583A556D" w14:textId="53F5234D"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Indicador</w:t>
            </w:r>
          </w:p>
        </w:tc>
        <w:tc>
          <w:tcPr>
            <w:tcW w:w="1343" w:type="dxa"/>
            <w:tcMar>
              <w:left w:w="70" w:type="dxa"/>
              <w:right w:w="70" w:type="dxa"/>
            </w:tcMar>
            <w:vAlign w:val="center"/>
          </w:tcPr>
          <w:p w14:paraId="0D9A470D" w14:textId="4A334A78"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Periodo</w:t>
            </w:r>
          </w:p>
        </w:tc>
        <w:tc>
          <w:tcPr>
            <w:tcW w:w="1959" w:type="dxa"/>
            <w:tcMar>
              <w:left w:w="70" w:type="dxa"/>
              <w:right w:w="70" w:type="dxa"/>
            </w:tcMar>
            <w:vAlign w:val="center"/>
          </w:tcPr>
          <w:p w14:paraId="3A987655" w14:textId="25A81010"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Definición Operacional</w:t>
            </w:r>
          </w:p>
        </w:tc>
        <w:tc>
          <w:tcPr>
            <w:tcW w:w="1859" w:type="dxa"/>
            <w:tcMar>
              <w:left w:w="70" w:type="dxa"/>
              <w:right w:w="70" w:type="dxa"/>
            </w:tcMar>
            <w:vAlign w:val="center"/>
          </w:tcPr>
          <w:p w14:paraId="4F54FCFC" w14:textId="6FBB685E"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Porcentaje Incumplimiento</w:t>
            </w:r>
          </w:p>
        </w:tc>
      </w:tr>
      <w:tr w:rsidR="5161137D" w:rsidRPr="006068A2" w14:paraId="66103E2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445C927A" w14:textId="790C32CB"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Riesgo Vital * 100</w:t>
            </w:r>
          </w:p>
        </w:tc>
        <w:tc>
          <w:tcPr>
            <w:tcW w:w="1343" w:type="dxa"/>
            <w:shd w:val="clear" w:color="auto" w:fill="FFFFFF" w:themeFill="background1"/>
            <w:tcMar>
              <w:left w:w="70" w:type="dxa"/>
              <w:right w:w="70" w:type="dxa"/>
            </w:tcMar>
            <w:vAlign w:val="center"/>
          </w:tcPr>
          <w:p w14:paraId="064EC9D7" w14:textId="5BABC60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2BC52002" w14:textId="0AABA741"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1 / 2</w:t>
            </w:r>
            <w:r w:rsidRPr="006068A2">
              <w:rPr>
                <w:rFonts w:ascii="Arial" w:eastAsia="Arial" w:hAnsi="Arial" w:cs="Arial"/>
                <w:color w:val="000000" w:themeColor="text1"/>
                <w:sz w:val="22"/>
                <w:szCs w:val="22"/>
                <w:lang w:val="es"/>
              </w:rPr>
              <w:t xml:space="preserve"> *100</w:t>
            </w:r>
          </w:p>
        </w:tc>
        <w:tc>
          <w:tcPr>
            <w:tcW w:w="1859" w:type="dxa"/>
            <w:tcMar>
              <w:left w:w="70" w:type="dxa"/>
              <w:right w:w="70" w:type="dxa"/>
            </w:tcMar>
            <w:vAlign w:val="center"/>
          </w:tcPr>
          <w:p w14:paraId="027FB9F6" w14:textId="0CA3085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6C0FA2DA" w14:textId="77777777" w:rsidTr="00300C3E">
        <w:trPr>
          <w:trHeight w:val="378"/>
          <w:jc w:val="center"/>
        </w:trPr>
        <w:tc>
          <w:tcPr>
            <w:tcW w:w="3405" w:type="dxa"/>
            <w:vMerge/>
            <w:vAlign w:val="center"/>
          </w:tcPr>
          <w:p w14:paraId="2A662277"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3F78C3F1" w14:textId="2E423EE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390D0A8B" w14:textId="6315C3E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2 / 4 *100</w:t>
            </w:r>
          </w:p>
        </w:tc>
        <w:tc>
          <w:tcPr>
            <w:tcW w:w="1859" w:type="dxa"/>
            <w:tcMar>
              <w:left w:w="70" w:type="dxa"/>
              <w:right w:w="70" w:type="dxa"/>
            </w:tcMar>
            <w:vAlign w:val="center"/>
          </w:tcPr>
          <w:p w14:paraId="1A1DEAC0" w14:textId="04CED3B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5ED60B9E" w14:textId="77777777" w:rsidTr="00300C3E">
        <w:trPr>
          <w:trHeight w:val="378"/>
          <w:jc w:val="center"/>
        </w:trPr>
        <w:tc>
          <w:tcPr>
            <w:tcW w:w="3405" w:type="dxa"/>
            <w:shd w:val="clear" w:color="auto" w:fill="B4C6E7" w:themeFill="accent5" w:themeFillTint="66"/>
            <w:tcMar>
              <w:left w:w="70" w:type="dxa"/>
              <w:right w:w="70" w:type="dxa"/>
            </w:tcMar>
            <w:vAlign w:val="center"/>
          </w:tcPr>
          <w:p w14:paraId="64B9A01E" w14:textId="62FAAA0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3BEA087A" w14:textId="45CCAD47"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14E9ACDD" w14:textId="3D0A0937"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3 / 6*100</w:t>
            </w:r>
          </w:p>
        </w:tc>
        <w:tc>
          <w:tcPr>
            <w:tcW w:w="1859" w:type="dxa"/>
            <w:shd w:val="clear" w:color="auto" w:fill="B4C6E7" w:themeFill="accent5" w:themeFillTint="66"/>
            <w:tcMar>
              <w:left w:w="70" w:type="dxa"/>
              <w:right w:w="70" w:type="dxa"/>
            </w:tcMar>
            <w:vAlign w:val="center"/>
          </w:tcPr>
          <w:p w14:paraId="6BBEC292" w14:textId="6F0573C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50%</w:t>
            </w:r>
          </w:p>
        </w:tc>
      </w:tr>
      <w:tr w:rsidR="5161137D" w:rsidRPr="006068A2" w14:paraId="64A4669B"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371CF422" w14:textId="163D24F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Priorizado * 100</w:t>
            </w:r>
          </w:p>
        </w:tc>
        <w:tc>
          <w:tcPr>
            <w:tcW w:w="1343" w:type="dxa"/>
            <w:shd w:val="clear" w:color="auto" w:fill="FFFFFF" w:themeFill="background1"/>
            <w:tcMar>
              <w:left w:w="70" w:type="dxa"/>
              <w:right w:w="70" w:type="dxa"/>
            </w:tcMar>
            <w:vAlign w:val="center"/>
          </w:tcPr>
          <w:p w14:paraId="7383DDD4" w14:textId="055E3BF7"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32373001" w14:textId="0C442778"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509 / 612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4592A7CE" w14:textId="4D5DE76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83,17%</w:t>
            </w:r>
          </w:p>
        </w:tc>
      </w:tr>
      <w:tr w:rsidR="5161137D" w:rsidRPr="006068A2" w14:paraId="5D63BDAE" w14:textId="77777777" w:rsidTr="00300C3E">
        <w:trPr>
          <w:trHeight w:val="378"/>
          <w:jc w:val="center"/>
        </w:trPr>
        <w:tc>
          <w:tcPr>
            <w:tcW w:w="3405" w:type="dxa"/>
            <w:vMerge/>
            <w:vAlign w:val="center"/>
          </w:tcPr>
          <w:p w14:paraId="77BDC75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00243DED" w14:textId="4AEA1643"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7CB9837E" w14:textId="63EEA31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351 / 632 *100</w:t>
            </w:r>
          </w:p>
        </w:tc>
        <w:tc>
          <w:tcPr>
            <w:tcW w:w="1859" w:type="dxa"/>
            <w:tcMar>
              <w:left w:w="70" w:type="dxa"/>
              <w:right w:w="70" w:type="dxa"/>
            </w:tcMar>
            <w:vAlign w:val="center"/>
          </w:tcPr>
          <w:p w14:paraId="364B0D99" w14:textId="0977A52C"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55,54%</w:t>
            </w:r>
          </w:p>
        </w:tc>
      </w:tr>
      <w:tr w:rsidR="5161137D" w:rsidRPr="006068A2" w14:paraId="5476C5C6" w14:textId="77777777" w:rsidTr="00300C3E">
        <w:trPr>
          <w:trHeight w:val="378"/>
          <w:jc w:val="center"/>
        </w:trPr>
        <w:tc>
          <w:tcPr>
            <w:tcW w:w="3405" w:type="dxa"/>
            <w:shd w:val="clear" w:color="auto" w:fill="B4C6E7" w:themeFill="accent5" w:themeFillTint="66"/>
            <w:tcMar>
              <w:left w:w="70" w:type="dxa"/>
              <w:right w:w="70" w:type="dxa"/>
            </w:tcMar>
            <w:vAlign w:val="center"/>
          </w:tcPr>
          <w:p w14:paraId="1656D2F8" w14:textId="038C2B86"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021C1E81" w14:textId="58204CE4"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2FFF49E5" w14:textId="68765FAE"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860 / 1.244 *100</w:t>
            </w:r>
          </w:p>
        </w:tc>
        <w:tc>
          <w:tcPr>
            <w:tcW w:w="1859" w:type="dxa"/>
            <w:shd w:val="clear" w:color="auto" w:fill="B4C6E7" w:themeFill="accent5" w:themeFillTint="66"/>
            <w:tcMar>
              <w:left w:w="70" w:type="dxa"/>
              <w:right w:w="70" w:type="dxa"/>
            </w:tcMar>
            <w:vAlign w:val="center"/>
          </w:tcPr>
          <w:p w14:paraId="239B9A51" w14:textId="5547BEBF"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69,13%</w:t>
            </w:r>
          </w:p>
        </w:tc>
      </w:tr>
      <w:tr w:rsidR="5161137D" w:rsidRPr="006068A2" w14:paraId="5CE13EB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09397A56" w14:textId="48B6C73D"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Simple * 100</w:t>
            </w:r>
          </w:p>
        </w:tc>
        <w:tc>
          <w:tcPr>
            <w:tcW w:w="1343" w:type="dxa"/>
            <w:shd w:val="clear" w:color="auto" w:fill="FFFFFF" w:themeFill="background1"/>
            <w:tcMar>
              <w:left w:w="70" w:type="dxa"/>
              <w:right w:w="70" w:type="dxa"/>
            </w:tcMar>
            <w:vAlign w:val="center"/>
          </w:tcPr>
          <w:p w14:paraId="4C0C6005" w14:textId="36CAC62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12FA7D82" w14:textId="53A342B5"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784 / 1.002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707DA52F" w14:textId="6AF6BF7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78,24%</w:t>
            </w:r>
          </w:p>
        </w:tc>
      </w:tr>
      <w:tr w:rsidR="5161137D" w:rsidRPr="006068A2" w14:paraId="776B5CE6" w14:textId="77777777" w:rsidTr="00300C3E">
        <w:trPr>
          <w:trHeight w:val="378"/>
          <w:jc w:val="center"/>
        </w:trPr>
        <w:tc>
          <w:tcPr>
            <w:tcW w:w="3405" w:type="dxa"/>
            <w:vMerge/>
            <w:vAlign w:val="center"/>
          </w:tcPr>
          <w:p w14:paraId="0EF0452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7078E219" w14:textId="3D3C9640"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2AE63FF8" w14:textId="295D8BF3"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389 / 1.116 *100</w:t>
            </w:r>
          </w:p>
        </w:tc>
        <w:tc>
          <w:tcPr>
            <w:tcW w:w="1859" w:type="dxa"/>
            <w:shd w:val="clear" w:color="auto" w:fill="FFFFFF" w:themeFill="background1"/>
            <w:tcMar>
              <w:left w:w="70" w:type="dxa"/>
              <w:right w:w="70" w:type="dxa"/>
            </w:tcMar>
            <w:vAlign w:val="center"/>
          </w:tcPr>
          <w:p w14:paraId="756F2815" w14:textId="13C8C811" w:rsidR="5161137D" w:rsidRPr="006068A2" w:rsidRDefault="5161137D" w:rsidP="0054461B">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34,85%</w:t>
            </w:r>
          </w:p>
        </w:tc>
      </w:tr>
      <w:tr w:rsidR="5161137D" w:rsidRPr="006068A2" w14:paraId="543B2E72" w14:textId="77777777" w:rsidTr="00300C3E">
        <w:trPr>
          <w:trHeight w:val="378"/>
          <w:jc w:val="center"/>
        </w:trPr>
        <w:tc>
          <w:tcPr>
            <w:tcW w:w="3405" w:type="dxa"/>
            <w:shd w:val="clear" w:color="auto" w:fill="B4C6E7" w:themeFill="accent5" w:themeFillTint="66"/>
            <w:tcMar>
              <w:left w:w="70" w:type="dxa"/>
              <w:right w:w="70" w:type="dxa"/>
            </w:tcMar>
            <w:vAlign w:val="center"/>
          </w:tcPr>
          <w:p w14:paraId="33F7AEB7" w14:textId="1E8321F8"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11671A0C" w14:textId="521BDDC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shd w:val="clear" w:color="auto" w:fill="B4C6E7" w:themeFill="accent5" w:themeFillTint="66"/>
            <w:tcMar>
              <w:left w:w="70" w:type="dxa"/>
              <w:right w:w="70" w:type="dxa"/>
            </w:tcMar>
            <w:vAlign w:val="center"/>
          </w:tcPr>
          <w:p w14:paraId="1BFEF151" w14:textId="4A675142"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1.173 / 2.118 *100</w:t>
            </w:r>
          </w:p>
        </w:tc>
        <w:tc>
          <w:tcPr>
            <w:tcW w:w="1859" w:type="dxa"/>
            <w:shd w:val="clear" w:color="auto" w:fill="B4C6E7" w:themeFill="accent5" w:themeFillTint="66"/>
            <w:tcMar>
              <w:left w:w="70" w:type="dxa"/>
              <w:right w:w="70" w:type="dxa"/>
            </w:tcMar>
            <w:vAlign w:val="center"/>
          </w:tcPr>
          <w:p w14:paraId="5E1A624B" w14:textId="3DC1486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55,38%</w:t>
            </w:r>
          </w:p>
        </w:tc>
      </w:tr>
    </w:tbl>
    <w:p w14:paraId="4C4878D7" w14:textId="0A948E66" w:rsidR="4CE92E66" w:rsidRPr="00565FCA" w:rsidRDefault="68D5EC6B" w:rsidP="006068A2">
      <w:pPr>
        <w:spacing w:line="360" w:lineRule="auto"/>
        <w:jc w:val="both"/>
        <w:rPr>
          <w:rFonts w:ascii="Arial" w:eastAsia="Arial" w:hAnsi="Arial" w:cs="Arial"/>
          <w:sz w:val="16"/>
          <w:szCs w:val="16"/>
          <w:lang w:val="es-ES"/>
        </w:rPr>
      </w:pPr>
      <w:r w:rsidRPr="00565FCA">
        <w:rPr>
          <w:rFonts w:ascii="Arial" w:eastAsia="Arial" w:hAnsi="Arial" w:cs="Arial"/>
          <w:sz w:val="16"/>
          <w:szCs w:val="16"/>
          <w:lang w:val="es-ES"/>
        </w:rPr>
        <w:t xml:space="preserve">Fuente: Base de datos </w:t>
      </w:r>
      <w:r w:rsidRPr="00565FCA">
        <w:rPr>
          <w:rFonts w:ascii="Arial" w:eastAsia="Arial" w:hAnsi="Arial" w:cs="Arial"/>
          <w:sz w:val="16"/>
          <w:szCs w:val="16"/>
          <w:lang w:val="es-MX"/>
        </w:rPr>
        <w:t xml:space="preserve">aplicativo </w:t>
      </w:r>
      <w:r w:rsidRPr="00565FCA">
        <w:rPr>
          <w:rFonts w:ascii="Arial" w:eastAsia="Arial" w:hAnsi="Arial" w:cs="Arial"/>
          <w:sz w:val="16"/>
          <w:szCs w:val="16"/>
          <w:lang w:val="es-ES"/>
        </w:rPr>
        <w:t>Endomarketing 2025</w:t>
      </w:r>
      <w:r w:rsidRPr="00565FCA">
        <w:rPr>
          <w:rFonts w:ascii="Arial" w:eastAsia="Arial" w:hAnsi="Arial" w:cs="Arial"/>
          <w:sz w:val="16"/>
          <w:szCs w:val="16"/>
          <w:lang w:val="es-MX"/>
        </w:rPr>
        <w:t xml:space="preserve">- </w:t>
      </w:r>
      <w:r w:rsidRPr="00565FCA">
        <w:rPr>
          <w:rFonts w:ascii="Arial" w:eastAsia="Arial" w:hAnsi="Arial" w:cs="Arial"/>
          <w:sz w:val="16"/>
          <w:szCs w:val="16"/>
          <w:lang w:val="es-ES"/>
        </w:rPr>
        <w:t xml:space="preserve">Información reportada por la Entidad COOSALUD </w:t>
      </w:r>
      <w:r w:rsidR="00E54DC5" w:rsidRPr="00565FCA">
        <w:rPr>
          <w:rFonts w:ascii="Arial" w:eastAsia="Arial" w:hAnsi="Arial" w:cs="Arial"/>
          <w:sz w:val="16"/>
          <w:szCs w:val="16"/>
          <w:lang w:val="es-ES"/>
        </w:rPr>
        <w:t>– SDS diciembre de 202</w:t>
      </w:r>
      <w:r w:rsidR="00FE6EE9">
        <w:rPr>
          <w:rFonts w:ascii="Arial" w:eastAsia="Arial" w:hAnsi="Arial" w:cs="Arial"/>
          <w:sz w:val="16"/>
          <w:szCs w:val="16"/>
          <w:lang w:val="es-ES"/>
        </w:rPr>
        <w:t>5</w:t>
      </w:r>
      <w:r w:rsidR="00E54DC5" w:rsidRPr="00565FCA">
        <w:rPr>
          <w:rFonts w:ascii="Arial" w:eastAsia="Arial" w:hAnsi="Arial" w:cs="Arial"/>
          <w:sz w:val="16"/>
          <w:szCs w:val="16"/>
          <w:lang w:val="es-ES"/>
        </w:rPr>
        <w:t>.</w:t>
      </w:r>
    </w:p>
    <w:p w14:paraId="4661999C" w14:textId="4222314B" w:rsidR="4CE92E66" w:rsidRPr="006068A2" w:rsidRDefault="4CE92E66" w:rsidP="006068A2">
      <w:pPr>
        <w:spacing w:line="360" w:lineRule="auto"/>
        <w:jc w:val="both"/>
        <w:rPr>
          <w:rFonts w:ascii="Arial" w:hAnsi="Arial" w:cs="Arial"/>
          <w:sz w:val="22"/>
          <w:szCs w:val="22"/>
          <w:lang w:val="es-ES"/>
        </w:rPr>
      </w:pPr>
    </w:p>
    <w:p w14:paraId="7FD1C72D" w14:textId="77777777" w:rsidR="00273BC4" w:rsidRPr="00273BC4" w:rsidRDefault="4CE92E66" w:rsidP="00273BC4">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 xml:space="preserve"> </w:t>
      </w:r>
      <w:r w:rsidR="00273BC4" w:rsidRPr="00273BC4">
        <w:rPr>
          <w:rFonts w:ascii="Arial" w:eastAsia="Arial" w:hAnsi="Arial" w:cs="Arial"/>
          <w:color w:val="000000" w:themeColor="text1"/>
          <w:sz w:val="22"/>
          <w:szCs w:val="22"/>
          <w:lang w:val="es-ES"/>
        </w:rPr>
        <w:t xml:space="preserve">Los resultados evidencian niveles relevantes de incumplimiento en los tiempos de respuesta a las PQRS, particularmente en las categorías de riesgo priorizado y riesgo simple, que concentran el mayor volumen de manifestaciones y presentan afectaciones significativas en la oportunidad de gestión. En la categoría de riesgo vital, el incumplimiento fue de 50% tanto en el primer como en el segundo semestre de 2025, para un total anual de 3 respuestas extemporáneas sobre 6 casos analizados. Aunque el volumen absoluto es bajo, este resultado es altamente sensible, dado que se trata de situaciones asociadas a </w:t>
      </w:r>
      <w:r w:rsidR="00273BC4" w:rsidRPr="00273BC4">
        <w:rPr>
          <w:rFonts w:ascii="Arial" w:eastAsia="Arial" w:hAnsi="Arial" w:cs="Arial"/>
          <w:color w:val="000000" w:themeColor="text1"/>
          <w:sz w:val="22"/>
          <w:szCs w:val="22"/>
          <w:lang w:val="es-ES"/>
        </w:rPr>
        <w:lastRenderedPageBreak/>
        <w:t>eventos que pueden comprometer de manera inmediata la vida o la integridad de los usuarios.</w:t>
      </w:r>
    </w:p>
    <w:p w14:paraId="2DD2F3E6"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10E37D6C"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En las PQRS clasificadas como riesgo priorizado se observó un incumplimiento acumulado de 69,13%, correspondiente a 860 respuestas fuera de término sobre 1.244 manifestaciones. Si bien el comportamiento del indicador mostró una mejora en el segundo semestre de 2025, al descender de 83,17% a 55,54%, el nivel de inoportunidad continúa siendo elevado y refleja dificultades importantes para responder dentro de los tiempos establecidos en una categoría que exige atención preferente.</w:t>
      </w:r>
    </w:p>
    <w:p w14:paraId="024F5AE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95FDC89"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Por su parte, las PQRS clasificadas como riesgo simple registraron un incumplimiento acumulado de 55,38%, equivalente a 1.173 respuestas extemporáneas sobre 2.118 manifestaciones. En esta categoría también se observó una mejora entre semestres, al pasar de 78,24% en el primero a 34,85% en el segundo; no obstante, el volumen de casos y la persistencia de respuestas fuera de término indican que aún subsisten brechas relevantes en la capacidad de gestión y cierre oportuno de las solicitudes.</w:t>
      </w:r>
    </w:p>
    <w:p w14:paraId="2D9C5495"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6165965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Desde una perspectiva de gestión, este comportamiento es consistente con posibles debilidades en el proceso de clasificación, priorización, asignación y articulación con las áreas responsables de la respuesta. En particular, los altos niveles de incumplimiento en categorías con tiempos de respuesta cortos, entre 24 y 72 horas, sugieren la existencia de cuellos de botella en el flujo operativo, asociados al escalamiento oportuno de los casos, al seguimiento interno y al cierre efectivo de las manifestaciones. Asimismo, la decisión de integrar las PQRS generales dentro de la categoría de riesgo simple incrementa la carga operativa de esta clasificación y puede afectar la oportunidad de respuesta si no existen mecanismos diferenciados de priorización interna.</w:t>
      </w:r>
    </w:p>
    <w:p w14:paraId="1144987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0F9ABEF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Si bien la reducción del incumplimiento en el segundo semestre para las categorías de riesgo priorizado y riesgo simple podría reflejar ajustes en la gestión institucional, los niveles observados siguen siendo suficientemente altos como para requerir acciones de mejora sostenidas. En este contexto, resulta pertinente fortalecer mecanismos de alerta temprana de vencimiento, seguimiento por etapas del proceso, definición de responsables por tipo de riesgo y refuerzo de la capacidad operativa en los puntos críticos de la gestión.</w:t>
      </w:r>
    </w:p>
    <w:p w14:paraId="3E9BDAA0"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7C1EF30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La inoportunidad en la respuesta a las PQRS tiene implicaciones directas sobre la experiencia del usuario, en la medida en que puede mantener barreras para el acceso oportuno a los servicios de salud, generar desconfianza frente a la capacidad de respuesta de la EPS e incrementar la reiteración de quejas asociadas a problemas persistentes, especialmente en acceso, autorizaciones y continuidad de la atención. En consecuencia, el incumplimiento en los tiempos de respuesta no solo configura un riesgo de carácter normativo y administrativo, sino también un factor que puede intensificar la insatisfacción de los usuarios, aumentar la presión sobre los canales de atención y derivar en un mayor uso de mecanismos judiciales como la acción de tutela.</w:t>
      </w:r>
    </w:p>
    <w:p w14:paraId="4A5D671F"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0788782" w14:textId="7C49F08B" w:rsidR="01CF7B82" w:rsidRPr="006068A2" w:rsidRDefault="00273BC4" w:rsidP="00273BC4">
      <w:pPr>
        <w:spacing w:line="360" w:lineRule="auto"/>
        <w:jc w:val="both"/>
        <w:rPr>
          <w:rFonts w:ascii="Arial" w:hAnsi="Arial" w:cs="Arial"/>
          <w:color w:val="000000" w:themeColor="text1"/>
          <w:sz w:val="22"/>
          <w:szCs w:val="22"/>
        </w:rPr>
      </w:pPr>
      <w:r w:rsidRPr="00273BC4">
        <w:rPr>
          <w:rFonts w:ascii="Arial" w:eastAsia="Arial" w:hAnsi="Arial" w:cs="Arial"/>
          <w:color w:val="000000" w:themeColor="text1"/>
          <w:sz w:val="22"/>
          <w:szCs w:val="22"/>
          <w:lang w:val="es-ES"/>
        </w:rPr>
        <w:t>En síntesis, el comportamiento observado en 2025 evidencia una inoportunidad relevante en la gestión de las PQRS por parte de COOSALUD EPS, particularmente en las categorías de riesgo priorizado y riesgo simple, y una situación especialmente sensible en riesgo vital, donde cualquier incumplimiento adquiere alta criticidad por su potencial impacto sobre la vida y la integridad de los usuarios. Aunque se observa una mejoría en el segundo semestre en algunas categorías, los porcentajes de incumplimiento continúan siendo elevados, lo que sugiere la necesidad de fortalecer de manera estructural la capacidad de respuesta de la entidad. En este sentido, la gestión inoportuna de las PQRS no solo afecta el cumplimiento normativo, sino que también puede profundizar barreras de acceso, deteriorar la experiencia del usuario y comprometer la garantía efectiva del derecho a la salud de la población afiliada.</w:t>
      </w:r>
    </w:p>
    <w:p w14:paraId="3E7A5D44" w14:textId="69506381" w:rsidR="382B01F5" w:rsidRPr="006068A2" w:rsidRDefault="382B01F5" w:rsidP="006068A2">
      <w:pPr>
        <w:spacing w:line="360" w:lineRule="auto"/>
        <w:jc w:val="both"/>
        <w:rPr>
          <w:rFonts w:ascii="Arial" w:hAnsi="Arial" w:cs="Arial"/>
          <w:sz w:val="22"/>
          <w:szCs w:val="22"/>
        </w:rPr>
      </w:pPr>
    </w:p>
    <w:p w14:paraId="561161F4" w14:textId="6AD96A9B" w:rsidR="000C4AE0"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6" w:name="_Toc229397838"/>
      <w:r w:rsidRPr="006068A2">
        <w:rPr>
          <w:rFonts w:ascii="Arial" w:eastAsia="Arial" w:hAnsi="Arial" w:cs="Arial"/>
          <w:b/>
          <w:bCs/>
          <w:color w:val="auto"/>
          <w:sz w:val="22"/>
          <w:szCs w:val="22"/>
        </w:rPr>
        <w:t>Principales barreras de acceso identificadas</w:t>
      </w:r>
      <w:bookmarkEnd w:id="26"/>
    </w:p>
    <w:p w14:paraId="71374A1D" w14:textId="77777777" w:rsidR="000A0E03" w:rsidRPr="006068A2" w:rsidRDefault="000A0E03" w:rsidP="006068A2">
      <w:pPr>
        <w:spacing w:line="360" w:lineRule="auto"/>
        <w:jc w:val="both"/>
        <w:rPr>
          <w:rFonts w:ascii="Arial" w:eastAsia="Arial" w:hAnsi="Arial" w:cs="Arial"/>
          <w:sz w:val="22"/>
          <w:szCs w:val="22"/>
        </w:rPr>
      </w:pPr>
    </w:p>
    <w:p w14:paraId="79573FF2" w14:textId="5E8A3546" w:rsidR="00291443" w:rsidRPr="00291443"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t>Con el propósito de identificar y priorizar las principales causas de inconformidad manifestadas por los usuarios</w:t>
      </w:r>
      <w:r w:rsidR="008D5825">
        <w:rPr>
          <w:rFonts w:ascii="Arial" w:hAnsi="Arial" w:cs="Arial"/>
          <w:color w:val="000000" w:themeColor="text1"/>
          <w:sz w:val="22"/>
          <w:szCs w:val="22"/>
        </w:rPr>
        <w:t xml:space="preserve">; </w:t>
      </w:r>
      <w:r w:rsidRPr="00291443">
        <w:rPr>
          <w:rFonts w:ascii="Arial" w:hAnsi="Arial" w:cs="Arial"/>
          <w:color w:val="000000" w:themeColor="text1"/>
          <w:sz w:val="22"/>
          <w:szCs w:val="22"/>
        </w:rPr>
        <w:t>a continuación</w:t>
      </w:r>
      <w:r w:rsidR="008D5825">
        <w:rPr>
          <w:rFonts w:ascii="Arial" w:hAnsi="Arial" w:cs="Arial"/>
          <w:color w:val="000000" w:themeColor="text1"/>
          <w:sz w:val="22"/>
          <w:szCs w:val="22"/>
        </w:rPr>
        <w:t>,</w:t>
      </w:r>
      <w:r w:rsidRPr="00291443">
        <w:rPr>
          <w:rFonts w:ascii="Arial" w:hAnsi="Arial" w:cs="Arial"/>
          <w:color w:val="000000" w:themeColor="text1"/>
          <w:sz w:val="22"/>
          <w:szCs w:val="22"/>
        </w:rPr>
        <w:t xml:space="preserve"> se presentan los principales motivos de las Peticiones, Quejas, Reclamos, Sugerencias y Denuncias (PQRSD) registradas durante la vigencia evaluada. La información se organiza según el número total de manifestaciones y su respectivo porcentaje de participación, lo que permite dimensionar la frecuencia relativa de cada motivo y facilitar la comprensión del impacto que estas situaciones generan sobre el acceso, la oportunidad y la continuidad en la prestación de los servicios de salud.</w:t>
      </w:r>
    </w:p>
    <w:p w14:paraId="233D1702" w14:textId="77777777" w:rsidR="00291443" w:rsidRPr="00291443" w:rsidRDefault="00291443" w:rsidP="00291443">
      <w:pPr>
        <w:spacing w:line="360" w:lineRule="auto"/>
        <w:jc w:val="both"/>
        <w:rPr>
          <w:rFonts w:ascii="Arial" w:hAnsi="Arial" w:cs="Arial"/>
          <w:color w:val="000000" w:themeColor="text1"/>
          <w:sz w:val="22"/>
          <w:szCs w:val="22"/>
        </w:rPr>
      </w:pPr>
    </w:p>
    <w:p w14:paraId="592AE261" w14:textId="79A8775F" w:rsidR="008F5854"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lastRenderedPageBreak/>
        <w:t>Este análisis permite identificar las barreras más recurrentes que afectan la experiencia de los usuarios y orientar la implementación de acciones de mejora encaminadas al fortalecimiento de la prestación de los servicios de salud y a la garantía efectiva del derecho fundamental a la salud como servicio público esencial.</w:t>
      </w:r>
    </w:p>
    <w:p w14:paraId="2D9113BE" w14:textId="77777777" w:rsidR="00291443" w:rsidRPr="006068A2" w:rsidRDefault="00291443" w:rsidP="00291443">
      <w:pPr>
        <w:spacing w:line="360" w:lineRule="auto"/>
        <w:jc w:val="both"/>
        <w:rPr>
          <w:rFonts w:ascii="Arial" w:hAnsi="Arial" w:cs="Arial"/>
          <w:color w:val="000000" w:themeColor="text1"/>
          <w:sz w:val="22"/>
          <w:szCs w:val="22"/>
        </w:rPr>
      </w:pPr>
    </w:p>
    <w:p w14:paraId="2D97291A" w14:textId="613C854A" w:rsidR="00A73AD2" w:rsidRDefault="006203BE" w:rsidP="00C23371">
      <w:pPr>
        <w:pStyle w:val="Descripcin"/>
        <w:spacing w:after="0" w:line="360" w:lineRule="auto"/>
        <w:jc w:val="both"/>
        <w:rPr>
          <w:rFonts w:ascii="Arial" w:eastAsia="Arial" w:hAnsi="Arial" w:cs="Arial"/>
          <w:i w:val="0"/>
          <w:iCs w:val="0"/>
          <w:color w:val="000000" w:themeColor="text1"/>
          <w:sz w:val="22"/>
          <w:szCs w:val="22"/>
          <w:lang w:val="es-ES"/>
        </w:rPr>
      </w:pPr>
      <w:bookmarkStart w:id="27" w:name="_Toc229395865"/>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8</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Principales Motivos de Manifestaciones</w:t>
      </w:r>
      <w:bookmarkEnd w:id="27"/>
    </w:p>
    <w:p w14:paraId="0C08860B" w14:textId="77777777" w:rsidR="00EB6BB2" w:rsidRPr="00EB6BB2" w:rsidRDefault="00EB6BB2" w:rsidP="00EB6BB2">
      <w:pPr>
        <w:rPr>
          <w:rFonts w:eastAsia="Arial"/>
          <w:lang w:val="es-ES"/>
        </w:rPr>
      </w:pPr>
    </w:p>
    <w:tbl>
      <w:tblPr>
        <w:tblStyle w:val="Tablaconcuadrcula"/>
        <w:tblW w:w="0" w:type="auto"/>
        <w:jc w:val="center"/>
        <w:tblLook w:val="04A0" w:firstRow="1" w:lastRow="0" w:firstColumn="1" w:lastColumn="0" w:noHBand="0" w:noVBand="1"/>
      </w:tblPr>
      <w:tblGrid>
        <w:gridCol w:w="5135"/>
        <w:gridCol w:w="1641"/>
        <w:gridCol w:w="2052"/>
      </w:tblGrid>
      <w:tr w:rsidR="002F0ACF" w:rsidRPr="002F0ACF" w14:paraId="62B4C23F" w14:textId="77777777" w:rsidTr="00300C3E">
        <w:trPr>
          <w:tblHeader/>
          <w:jc w:val="center"/>
        </w:trPr>
        <w:tc>
          <w:tcPr>
            <w:tcW w:w="0" w:type="auto"/>
            <w:vAlign w:val="center"/>
            <w:hideMark/>
          </w:tcPr>
          <w:p w14:paraId="3EAC3F6F" w14:textId="645B5138" w:rsidR="002F0ACF" w:rsidRPr="002F0ACF" w:rsidRDefault="6B7E8D20" w:rsidP="002F0ACF">
            <w:pPr>
              <w:spacing w:line="360" w:lineRule="auto"/>
              <w:jc w:val="center"/>
              <w:rPr>
                <w:rFonts w:ascii="Arial" w:eastAsia="Arial" w:hAnsi="Arial" w:cs="Arial"/>
                <w:b/>
                <w:bCs/>
                <w:sz w:val="22"/>
                <w:szCs w:val="22"/>
              </w:rPr>
            </w:pPr>
            <w:r w:rsidRPr="006068A2">
              <w:rPr>
                <w:rFonts w:ascii="Arial" w:eastAsia="Arial" w:hAnsi="Arial" w:cs="Arial"/>
                <w:b/>
                <w:bCs/>
                <w:sz w:val="22"/>
                <w:szCs w:val="22"/>
                <w:lang w:val="es-ES"/>
              </w:rPr>
              <w:t xml:space="preserve"> </w:t>
            </w:r>
            <w:r w:rsidR="002F0ACF" w:rsidRPr="002F0ACF">
              <w:rPr>
                <w:rFonts w:ascii="Arial" w:eastAsia="Arial" w:hAnsi="Arial" w:cs="Arial"/>
                <w:b/>
                <w:bCs/>
                <w:sz w:val="22"/>
                <w:szCs w:val="22"/>
              </w:rPr>
              <w:t>Motivo</w:t>
            </w:r>
          </w:p>
        </w:tc>
        <w:tc>
          <w:tcPr>
            <w:tcW w:w="0" w:type="auto"/>
            <w:vAlign w:val="center"/>
            <w:hideMark/>
          </w:tcPr>
          <w:p w14:paraId="710A4F20" w14:textId="3D26F593"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Total, de PQRSD</w:t>
            </w:r>
          </w:p>
        </w:tc>
        <w:tc>
          <w:tcPr>
            <w:tcW w:w="0" w:type="auto"/>
            <w:vAlign w:val="center"/>
            <w:hideMark/>
          </w:tcPr>
          <w:p w14:paraId="338A7B9B" w14:textId="701CD49E"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 de participación</w:t>
            </w:r>
            <w:r w:rsidR="00F9675F">
              <w:rPr>
                <w:rStyle w:val="Refdenotaalpie"/>
                <w:rFonts w:ascii="Arial" w:eastAsia="Arial" w:hAnsi="Arial" w:cs="Arial"/>
                <w:b/>
                <w:bCs/>
                <w:sz w:val="22"/>
                <w:szCs w:val="22"/>
              </w:rPr>
              <w:footnoteReference w:id="7"/>
            </w:r>
          </w:p>
        </w:tc>
      </w:tr>
      <w:tr w:rsidR="002F0ACF" w:rsidRPr="002F0ACF" w14:paraId="28A1D24C" w14:textId="77777777" w:rsidTr="002F0ACF">
        <w:trPr>
          <w:jc w:val="center"/>
        </w:trPr>
        <w:tc>
          <w:tcPr>
            <w:tcW w:w="0" w:type="auto"/>
            <w:hideMark/>
          </w:tcPr>
          <w:p w14:paraId="4B8CDC07"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Falta de oportunidad en consulta de medicina especializada</w:t>
            </w:r>
          </w:p>
        </w:tc>
        <w:tc>
          <w:tcPr>
            <w:tcW w:w="0" w:type="auto"/>
            <w:hideMark/>
          </w:tcPr>
          <w:p w14:paraId="75E1DD05"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925</w:t>
            </w:r>
          </w:p>
        </w:tc>
        <w:tc>
          <w:tcPr>
            <w:tcW w:w="0" w:type="auto"/>
            <w:hideMark/>
          </w:tcPr>
          <w:p w14:paraId="74E8F8E8"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27,46%</w:t>
            </w:r>
          </w:p>
        </w:tc>
      </w:tr>
      <w:tr w:rsidR="002F0ACF" w:rsidRPr="002F0ACF" w14:paraId="578919F3" w14:textId="77777777" w:rsidTr="002F0ACF">
        <w:trPr>
          <w:jc w:val="center"/>
        </w:trPr>
        <w:tc>
          <w:tcPr>
            <w:tcW w:w="0" w:type="auto"/>
            <w:hideMark/>
          </w:tcPr>
          <w:p w14:paraId="630D6461"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 en la entrega o entrega incompleta de medicamentos</w:t>
            </w:r>
          </w:p>
        </w:tc>
        <w:tc>
          <w:tcPr>
            <w:tcW w:w="0" w:type="auto"/>
            <w:hideMark/>
          </w:tcPr>
          <w:p w14:paraId="13D0D4FA"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534</w:t>
            </w:r>
          </w:p>
        </w:tc>
        <w:tc>
          <w:tcPr>
            <w:tcW w:w="0" w:type="auto"/>
            <w:hideMark/>
          </w:tcPr>
          <w:p w14:paraId="4D873856"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15,85%</w:t>
            </w:r>
          </w:p>
        </w:tc>
      </w:tr>
      <w:tr w:rsidR="002F0ACF" w:rsidRPr="002F0ACF" w14:paraId="12B0A6D5" w14:textId="77777777" w:rsidTr="002F0ACF">
        <w:trPr>
          <w:jc w:val="center"/>
        </w:trPr>
        <w:tc>
          <w:tcPr>
            <w:tcW w:w="0" w:type="auto"/>
            <w:hideMark/>
          </w:tcPr>
          <w:p w14:paraId="41B56FE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Dificultades en el aseguramiento y prestaciones económicas</w:t>
            </w:r>
          </w:p>
        </w:tc>
        <w:tc>
          <w:tcPr>
            <w:tcW w:w="0" w:type="auto"/>
            <w:hideMark/>
          </w:tcPr>
          <w:p w14:paraId="68927E4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425</w:t>
            </w:r>
          </w:p>
        </w:tc>
        <w:tc>
          <w:tcPr>
            <w:tcW w:w="0" w:type="auto"/>
            <w:hideMark/>
          </w:tcPr>
          <w:p w14:paraId="57026A30"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12,62%</w:t>
            </w:r>
          </w:p>
        </w:tc>
      </w:tr>
      <w:tr w:rsidR="002F0ACF" w:rsidRPr="002F0ACF" w14:paraId="33EE177E" w14:textId="77777777" w:rsidTr="002F0ACF">
        <w:trPr>
          <w:jc w:val="center"/>
        </w:trPr>
        <w:tc>
          <w:tcPr>
            <w:tcW w:w="0" w:type="auto"/>
            <w:hideMark/>
          </w:tcPr>
          <w:p w14:paraId="1DFCE25E"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 en la asignación de citas de medicina general</w:t>
            </w:r>
          </w:p>
        </w:tc>
        <w:tc>
          <w:tcPr>
            <w:tcW w:w="0" w:type="auto"/>
            <w:hideMark/>
          </w:tcPr>
          <w:p w14:paraId="0984F157"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285</w:t>
            </w:r>
          </w:p>
        </w:tc>
        <w:tc>
          <w:tcPr>
            <w:tcW w:w="0" w:type="auto"/>
            <w:hideMark/>
          </w:tcPr>
          <w:p w14:paraId="4C2B4B2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8,46%</w:t>
            </w:r>
          </w:p>
        </w:tc>
      </w:tr>
      <w:tr w:rsidR="002F0ACF" w:rsidRPr="002F0ACF" w14:paraId="50B49F23" w14:textId="77777777" w:rsidTr="002F0ACF">
        <w:trPr>
          <w:jc w:val="center"/>
        </w:trPr>
        <w:tc>
          <w:tcPr>
            <w:tcW w:w="0" w:type="auto"/>
            <w:hideMark/>
          </w:tcPr>
          <w:p w14:paraId="500802D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Demoras y/o falta de oportunidad en procedimientos no quirúrgicos</w:t>
            </w:r>
          </w:p>
        </w:tc>
        <w:tc>
          <w:tcPr>
            <w:tcW w:w="0" w:type="auto"/>
            <w:hideMark/>
          </w:tcPr>
          <w:p w14:paraId="5E6178D9"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186</w:t>
            </w:r>
          </w:p>
        </w:tc>
        <w:tc>
          <w:tcPr>
            <w:tcW w:w="0" w:type="auto"/>
            <w:hideMark/>
          </w:tcPr>
          <w:p w14:paraId="5C660402"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5,52%</w:t>
            </w:r>
          </w:p>
        </w:tc>
      </w:tr>
      <w:tr w:rsidR="002F0ACF" w:rsidRPr="002F0ACF" w14:paraId="74EA27A8" w14:textId="77777777" w:rsidTr="002F0ACF">
        <w:trPr>
          <w:jc w:val="center"/>
        </w:trPr>
        <w:tc>
          <w:tcPr>
            <w:tcW w:w="0" w:type="auto"/>
            <w:hideMark/>
          </w:tcPr>
          <w:p w14:paraId="3C49D676"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Total</w:t>
            </w:r>
          </w:p>
        </w:tc>
        <w:tc>
          <w:tcPr>
            <w:tcW w:w="0" w:type="auto"/>
            <w:hideMark/>
          </w:tcPr>
          <w:p w14:paraId="77B5310D"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2.355</w:t>
            </w:r>
          </w:p>
        </w:tc>
        <w:tc>
          <w:tcPr>
            <w:tcW w:w="0" w:type="auto"/>
            <w:hideMark/>
          </w:tcPr>
          <w:p w14:paraId="7D27A4CC"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69,92%</w:t>
            </w:r>
          </w:p>
        </w:tc>
      </w:tr>
    </w:tbl>
    <w:p w14:paraId="3CF28CA1" w14:textId="50B19E0A" w:rsidR="6B7E8D20" w:rsidRPr="00815472" w:rsidRDefault="6B7E8D20" w:rsidP="00815472">
      <w:pPr>
        <w:spacing w:line="360" w:lineRule="auto"/>
        <w:rPr>
          <w:rFonts w:ascii="Arial" w:eastAsia="Arial" w:hAnsi="Arial" w:cs="Arial"/>
          <w:sz w:val="16"/>
          <w:szCs w:val="16"/>
          <w:lang w:val="es-ES"/>
        </w:rPr>
      </w:pPr>
      <w:r w:rsidRPr="00815472">
        <w:rPr>
          <w:rFonts w:ascii="Arial" w:eastAsia="Arial" w:hAnsi="Arial" w:cs="Arial"/>
          <w:sz w:val="16"/>
          <w:szCs w:val="16"/>
          <w:lang w:val="es-ES"/>
        </w:rPr>
        <w:t xml:space="preserve">Fuente: Base de datos </w:t>
      </w:r>
      <w:r w:rsidRPr="00815472">
        <w:rPr>
          <w:rFonts w:ascii="Arial" w:eastAsia="Arial" w:hAnsi="Arial" w:cs="Arial"/>
          <w:sz w:val="16"/>
          <w:szCs w:val="16"/>
          <w:lang w:val="es-MX"/>
        </w:rPr>
        <w:t xml:space="preserve">aplicativo </w:t>
      </w:r>
      <w:r w:rsidRPr="00815472">
        <w:rPr>
          <w:rFonts w:ascii="Arial" w:eastAsia="Arial" w:hAnsi="Arial" w:cs="Arial"/>
          <w:sz w:val="16"/>
          <w:szCs w:val="16"/>
          <w:lang w:val="es-ES"/>
        </w:rPr>
        <w:t>Endomarketing 2025</w:t>
      </w:r>
      <w:r w:rsidRPr="00815472">
        <w:rPr>
          <w:rFonts w:ascii="Arial" w:eastAsia="Arial" w:hAnsi="Arial" w:cs="Arial"/>
          <w:sz w:val="16"/>
          <w:szCs w:val="16"/>
          <w:lang w:val="es-MX"/>
        </w:rPr>
        <w:t>-</w:t>
      </w:r>
      <w:r w:rsidRPr="00815472">
        <w:rPr>
          <w:rFonts w:ascii="Arial" w:eastAsia="Arial" w:hAnsi="Arial" w:cs="Arial"/>
          <w:sz w:val="16"/>
          <w:szCs w:val="16"/>
          <w:lang w:val="es-ES"/>
        </w:rPr>
        <w:t xml:space="preserve"> Información reportada por la Entidad COOSALUD EPS.</w:t>
      </w:r>
    </w:p>
    <w:p w14:paraId="30A1B005" w14:textId="77777777" w:rsidR="00300C3E" w:rsidRDefault="00300C3E" w:rsidP="00DB2B11">
      <w:pPr>
        <w:spacing w:line="360" w:lineRule="auto"/>
        <w:jc w:val="both"/>
        <w:rPr>
          <w:rFonts w:ascii="Arial" w:eastAsia="Arial" w:hAnsi="Arial" w:cs="Arial"/>
          <w:sz w:val="22"/>
          <w:szCs w:val="22"/>
        </w:rPr>
      </w:pPr>
    </w:p>
    <w:p w14:paraId="04D8F312" w14:textId="1D0A5669"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El análisis de los principales motivos de PQRSD evidencia que las inconformidades de los usuarios se concentran principalmente en barreras de acceso y oportunidad en la prestación de los servicios de salud. En efecto, los cinco motivos más frecuentes agrupan el 69,92% del total de manifestaciones, lo que muestra que la mayor parte de las reclamaciones se relaciona con fallas en la oportunidad de la atención, dificultades en la entrega de medicamentos y problemas asociados a trámites de aseguramiento y prestaciones económicas.</w:t>
      </w:r>
    </w:p>
    <w:p w14:paraId="2BE94A0E" w14:textId="77777777" w:rsidR="00DB2B11" w:rsidRPr="00DB2B11" w:rsidRDefault="00DB2B11" w:rsidP="00DB2B11">
      <w:pPr>
        <w:spacing w:line="360" w:lineRule="auto"/>
        <w:jc w:val="both"/>
        <w:rPr>
          <w:rFonts w:ascii="Arial" w:eastAsia="Arial" w:hAnsi="Arial" w:cs="Arial"/>
          <w:sz w:val="22"/>
          <w:szCs w:val="22"/>
        </w:rPr>
      </w:pPr>
    </w:p>
    <w:p w14:paraId="11F1A6F3"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lastRenderedPageBreak/>
        <w:t>En particular, la falta de oportunidad en la consulta de medicina especializada constituye el principal motivo de manifestación, con 925 casos, equivalentes al 27,46% del total, seguida por la demora en la entrega o entrega incompleta de medicamentos, con 534 casos (15,85%), y por las dificultades en el aseguramiento y prestaciones económicas, con 425 casos (12,62%). Esta concentración evidencia que las principales fuentes de insatisfacción de los usuarios de COOSALUD EPS durante 2025 estuvieron asociadas a barreras estructurales en el acceso efectivo a los servicios de salud, lo que demanda intervenciones focalizadas en la gestión de red, la operación farmacéutica y la eficiencia de los procesos administrativos.</w:t>
      </w:r>
    </w:p>
    <w:p w14:paraId="3A05AE4F" w14:textId="77777777" w:rsidR="00DB2B11" w:rsidRPr="00DB2B11" w:rsidRDefault="00DB2B11" w:rsidP="00DB2B11">
      <w:pPr>
        <w:spacing w:line="360" w:lineRule="auto"/>
        <w:jc w:val="both"/>
        <w:rPr>
          <w:rFonts w:ascii="Arial" w:eastAsia="Arial" w:hAnsi="Arial" w:cs="Arial"/>
          <w:sz w:val="22"/>
          <w:szCs w:val="22"/>
        </w:rPr>
      </w:pPr>
    </w:p>
    <w:p w14:paraId="7E9E6E99"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Asimismo, la demora en la asignación de citas de medicina general y la inoportunidad en la realización de procedimientos no quirúrgicos complementan el grupo de motivos más frecuentes, lo que refuerza la hipótesis de una afectación transversal en distintos puntos de la ruta de atención. En conjunto, estos hallazgos permiten inferir que las dificultades no se limitan a un componente aislado de la operación, sino que comprometen diferentes momentos del proceso asistencial, desde la consulta inicial hasta la atención especializada, la gestión de procedimientos y la dispensación de tecnologías en salud.</w:t>
      </w:r>
    </w:p>
    <w:p w14:paraId="2898A30A" w14:textId="77777777" w:rsidR="00DB2B11" w:rsidRPr="00DB2B11" w:rsidRDefault="00DB2B11" w:rsidP="00DB2B11">
      <w:pPr>
        <w:spacing w:line="360" w:lineRule="auto"/>
        <w:jc w:val="both"/>
        <w:rPr>
          <w:rFonts w:ascii="Arial" w:eastAsia="Arial" w:hAnsi="Arial" w:cs="Arial"/>
          <w:sz w:val="22"/>
          <w:szCs w:val="22"/>
        </w:rPr>
      </w:pPr>
    </w:p>
    <w:p w14:paraId="1F05D7E0"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De acuerdo con el análisis desagregado de las manifestaciones por especialidad, las mayores inconformidades asociadas a inoportunidad de agendas se concentraron en Oftalmología, Ortopedia y Traumatología, Pediatría, Oncología y Neurología, lo que sugiere limitaciones en la capacidad instalada y en la disponibilidad de la red prestadora para servicios de alta demanda y alto impacto clínico. Esta situación puede generar demoras en el diagnóstico, seguimiento y tratamiento oportuno de los usuarios, especialmente en patologías que requieren control especializado continuo, como las de tipo neurológico y oncológico. De igual forma, puede afectar la resolutividad del primer nivel de atención al dificultar la remisión efectiva hacia servicios especializados.</w:t>
      </w:r>
    </w:p>
    <w:p w14:paraId="118E4E56" w14:textId="77777777" w:rsidR="00DB2B11" w:rsidRPr="00DB2B11" w:rsidRDefault="00DB2B11" w:rsidP="00DB2B11">
      <w:pPr>
        <w:spacing w:line="360" w:lineRule="auto"/>
        <w:jc w:val="both"/>
        <w:rPr>
          <w:rFonts w:ascii="Arial" w:eastAsia="Arial" w:hAnsi="Arial" w:cs="Arial"/>
          <w:sz w:val="22"/>
          <w:szCs w:val="22"/>
        </w:rPr>
      </w:pPr>
    </w:p>
    <w:p w14:paraId="3E375C41"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 xml:space="preserve">En consecuencia, la persistencia de estas barreras puede traducirse en deterioro de las condiciones de salud, fragmentación en la atención, incremento de la insatisfacción del usuario y mayor recurrencia de manifestaciones por las mismas causas. A su vez, este escenario puede favorecer un aumento en el uso de mecanismos alternos de exigibilidad, </w:t>
      </w:r>
      <w:r w:rsidRPr="00DB2B11">
        <w:rPr>
          <w:rFonts w:ascii="Arial" w:eastAsia="Arial" w:hAnsi="Arial" w:cs="Arial"/>
          <w:sz w:val="22"/>
          <w:szCs w:val="22"/>
        </w:rPr>
        <w:lastRenderedPageBreak/>
        <w:t>como las acciones de tutela, y generar mayor presión sobre la red de prestación y sobre la gestión institucional de la EPS.</w:t>
      </w:r>
    </w:p>
    <w:p w14:paraId="595C361E" w14:textId="77777777" w:rsidR="00DB2B11" w:rsidRDefault="00DB2B11" w:rsidP="00DB2B11">
      <w:pPr>
        <w:spacing w:line="360" w:lineRule="auto"/>
        <w:jc w:val="both"/>
        <w:rPr>
          <w:rFonts w:ascii="Arial" w:eastAsia="Arial" w:hAnsi="Arial" w:cs="Arial"/>
          <w:sz w:val="22"/>
          <w:szCs w:val="22"/>
        </w:rPr>
      </w:pPr>
    </w:p>
    <w:p w14:paraId="6CDB0613" w14:textId="72283CC4" w:rsidR="00DB2B11" w:rsidRPr="00DB2B11" w:rsidRDefault="00DB2B11" w:rsidP="00DB2B11">
      <w:pPr>
        <w:spacing w:line="360" w:lineRule="auto"/>
        <w:jc w:val="both"/>
        <w:rPr>
          <w:rFonts w:ascii="Arial" w:eastAsia="Arial" w:hAnsi="Arial" w:cs="Arial"/>
          <w:sz w:val="22"/>
          <w:szCs w:val="22"/>
        </w:rPr>
      </w:pPr>
      <w:r>
        <w:rPr>
          <w:rFonts w:ascii="Arial" w:eastAsia="Arial" w:hAnsi="Arial" w:cs="Arial"/>
          <w:sz w:val="22"/>
          <w:szCs w:val="22"/>
        </w:rPr>
        <w:t>Con el anterior análisis,</w:t>
      </w:r>
      <w:r w:rsidRPr="00DB2B11">
        <w:rPr>
          <w:rFonts w:ascii="Arial" w:eastAsia="Arial" w:hAnsi="Arial" w:cs="Arial"/>
          <w:sz w:val="22"/>
          <w:szCs w:val="22"/>
        </w:rPr>
        <w:t xml:space="preserve"> la distribución de los principales motivos de PQRSD muestra que la inconformidad de los usuarios de COOSALUD EPS durante 2025 estuvo fuertemente asociada a problemas de acceso oportuno a la atención especializada, entrega de medicamentos y gestión administrativa del aseguramiento. Este patrón evidencia fallas relevantes en componentes críticos de la operación de la EPS y confirma la necesidad de fortalecer acciones correctivas orientadas a mejorar la capacidad de respuesta de la red, optimizar la operación farmacéutica y reducir las barreras que afectan la continuidad y oportunidad de la atención en salud.</w:t>
      </w:r>
    </w:p>
    <w:p w14:paraId="37911D9F" w14:textId="77777777" w:rsidR="00DB2B11" w:rsidRPr="006068A2" w:rsidRDefault="00DB2B11" w:rsidP="006068A2">
      <w:pPr>
        <w:spacing w:line="360" w:lineRule="auto"/>
        <w:jc w:val="both"/>
        <w:rPr>
          <w:rFonts w:ascii="Arial" w:eastAsia="Arial" w:hAnsi="Arial" w:cs="Arial"/>
          <w:sz w:val="22"/>
          <w:szCs w:val="22"/>
          <w:lang w:val="es-ES"/>
        </w:rPr>
      </w:pPr>
    </w:p>
    <w:p w14:paraId="30BFB7F4" w14:textId="3D0FA9EF" w:rsidR="007C46C6" w:rsidRPr="006068A2" w:rsidRDefault="00977047" w:rsidP="006068A2">
      <w:pPr>
        <w:pStyle w:val="Ttulo2"/>
        <w:numPr>
          <w:ilvl w:val="1"/>
          <w:numId w:val="9"/>
        </w:numPr>
        <w:spacing w:before="0" w:line="360" w:lineRule="auto"/>
        <w:jc w:val="both"/>
        <w:rPr>
          <w:rFonts w:ascii="Arial" w:eastAsia="Arial" w:hAnsi="Arial" w:cs="Arial"/>
          <w:b/>
          <w:bCs/>
          <w:color w:val="auto"/>
          <w:sz w:val="22"/>
          <w:szCs w:val="22"/>
        </w:rPr>
      </w:pPr>
      <w:bookmarkStart w:id="28" w:name="_Toc229397839"/>
      <w:bookmarkEnd w:id="23"/>
      <w:r w:rsidRPr="006068A2">
        <w:rPr>
          <w:rFonts w:ascii="Arial" w:eastAsia="Arial" w:hAnsi="Arial" w:cs="Arial"/>
          <w:b/>
          <w:bCs/>
          <w:color w:val="auto"/>
          <w:sz w:val="22"/>
          <w:szCs w:val="22"/>
        </w:rPr>
        <w:t>Secretaría</w:t>
      </w:r>
      <w:r w:rsidR="00A70082" w:rsidRPr="006068A2">
        <w:rPr>
          <w:rFonts w:ascii="Arial" w:eastAsia="Arial" w:hAnsi="Arial" w:cs="Arial"/>
          <w:b/>
          <w:bCs/>
          <w:color w:val="auto"/>
          <w:sz w:val="22"/>
          <w:szCs w:val="22"/>
        </w:rPr>
        <w:t xml:space="preserve"> Distrital </w:t>
      </w:r>
      <w:r w:rsidRPr="006068A2">
        <w:rPr>
          <w:rFonts w:ascii="Arial" w:eastAsia="Arial" w:hAnsi="Arial" w:cs="Arial"/>
          <w:b/>
          <w:bCs/>
          <w:color w:val="auto"/>
          <w:sz w:val="22"/>
          <w:szCs w:val="22"/>
        </w:rPr>
        <w:t>-</w:t>
      </w:r>
      <w:r w:rsidR="00A15B49" w:rsidRPr="006068A2">
        <w:rPr>
          <w:rFonts w:ascii="Arial" w:eastAsia="Arial" w:hAnsi="Arial" w:cs="Arial"/>
          <w:b/>
          <w:bCs/>
          <w:color w:val="auto"/>
          <w:sz w:val="22"/>
          <w:szCs w:val="22"/>
        </w:rPr>
        <w:t xml:space="preserve"> </w:t>
      </w:r>
      <w:r w:rsidRPr="006068A2">
        <w:rPr>
          <w:rFonts w:ascii="Arial" w:eastAsia="Arial" w:hAnsi="Arial" w:cs="Arial"/>
          <w:b/>
          <w:bCs/>
          <w:color w:val="auto"/>
          <w:sz w:val="22"/>
          <w:szCs w:val="22"/>
        </w:rPr>
        <w:t xml:space="preserve">Gestión de PQRS </w:t>
      </w:r>
      <w:r w:rsidR="00A70082" w:rsidRPr="006068A2">
        <w:rPr>
          <w:rFonts w:ascii="Arial" w:eastAsia="Arial" w:hAnsi="Arial" w:cs="Arial"/>
          <w:b/>
          <w:bCs/>
          <w:color w:val="auto"/>
          <w:sz w:val="22"/>
          <w:szCs w:val="22"/>
        </w:rPr>
        <w:t xml:space="preserve">de Salud </w:t>
      </w:r>
      <w:r w:rsidR="007C46C6" w:rsidRPr="006068A2">
        <w:rPr>
          <w:rFonts w:ascii="Arial" w:eastAsia="Arial" w:hAnsi="Arial" w:cs="Arial"/>
          <w:b/>
          <w:bCs/>
          <w:color w:val="auto"/>
          <w:sz w:val="22"/>
          <w:szCs w:val="22"/>
        </w:rPr>
        <w:t xml:space="preserve">2025 en </w:t>
      </w:r>
      <w:r w:rsidR="1FD2C11D" w:rsidRPr="006068A2">
        <w:rPr>
          <w:rFonts w:ascii="Arial" w:eastAsia="Arial" w:hAnsi="Arial" w:cs="Arial"/>
          <w:b/>
          <w:bCs/>
          <w:color w:val="auto"/>
          <w:sz w:val="22"/>
          <w:szCs w:val="22"/>
        </w:rPr>
        <w:t xml:space="preserve">COOSALUD </w:t>
      </w:r>
      <w:r w:rsidR="00556B9A">
        <w:rPr>
          <w:rFonts w:ascii="Arial" w:eastAsia="Arial" w:hAnsi="Arial" w:cs="Arial"/>
          <w:b/>
          <w:bCs/>
          <w:color w:val="auto"/>
          <w:sz w:val="22"/>
          <w:szCs w:val="22"/>
        </w:rPr>
        <w:t>EPS</w:t>
      </w:r>
      <w:bookmarkEnd w:id="28"/>
    </w:p>
    <w:p w14:paraId="5E35D678" w14:textId="77777777" w:rsidR="001C0DDE" w:rsidRDefault="001C0DDE" w:rsidP="006068A2">
      <w:pPr>
        <w:spacing w:line="360" w:lineRule="auto"/>
        <w:jc w:val="both"/>
        <w:rPr>
          <w:rFonts w:ascii="Arial" w:hAnsi="Arial" w:cs="Arial"/>
          <w:sz w:val="22"/>
          <w:szCs w:val="22"/>
        </w:rPr>
      </w:pPr>
    </w:p>
    <w:p w14:paraId="6D7EF4F9" w14:textId="0774C618" w:rsidR="001C0DDE" w:rsidRDefault="00740173" w:rsidP="006068A2">
      <w:pPr>
        <w:spacing w:line="360" w:lineRule="auto"/>
        <w:jc w:val="both"/>
        <w:rPr>
          <w:rFonts w:ascii="Arial" w:hAnsi="Arial" w:cs="Arial"/>
          <w:sz w:val="22"/>
          <w:szCs w:val="22"/>
        </w:rPr>
      </w:pPr>
      <w:r w:rsidRPr="00740173">
        <w:rPr>
          <w:rFonts w:ascii="Arial" w:hAnsi="Arial" w:cs="Arial"/>
          <w:sz w:val="22"/>
          <w:szCs w:val="22"/>
        </w:rPr>
        <w:t>Para la vigencia 2025, la Subdirección de Garantía del Aseguramiento gestionó un total de 263 PQRS correspondientes a usuarios afiliados a COOSALUD EPS en Bogotá D. C. De este total, 29 manifestaciones correspondieron al régimen contributivo, equivalente al 11%, mientras que 234 se asociaron al régimen subsidiado, con una participación del 89%. Esta distribución evidencia una concentración marcada de las PQRS en la población afiliada al régimen subsidiado, lo que sugiere una mayor carga de requerimientos ciudadanos en este grupo y, por tanto, una mayor presión sobre los procesos de seguimiento, respuesta y gestión institucional orientados a garantizar el acceso efectivo a los servicios de salud.</w:t>
      </w:r>
    </w:p>
    <w:p w14:paraId="2498B3AF" w14:textId="77777777" w:rsidR="00740173" w:rsidRPr="006068A2" w:rsidRDefault="00740173" w:rsidP="006068A2">
      <w:pPr>
        <w:spacing w:line="360" w:lineRule="auto"/>
        <w:jc w:val="both"/>
        <w:rPr>
          <w:rFonts w:ascii="Arial" w:hAnsi="Arial" w:cs="Arial"/>
          <w:sz w:val="22"/>
          <w:szCs w:val="22"/>
        </w:rPr>
      </w:pPr>
    </w:p>
    <w:p w14:paraId="1B67A037" w14:textId="2AF03E77" w:rsidR="00F81D98" w:rsidRPr="006068A2" w:rsidRDefault="006203BE" w:rsidP="00A10FC2">
      <w:pPr>
        <w:pStyle w:val="Descripcin"/>
        <w:spacing w:after="0" w:line="360" w:lineRule="auto"/>
        <w:rPr>
          <w:rFonts w:ascii="Arial" w:hAnsi="Arial" w:cs="Arial"/>
          <w:i w:val="0"/>
          <w:iCs w:val="0"/>
          <w:color w:val="auto"/>
          <w:sz w:val="22"/>
          <w:szCs w:val="22"/>
        </w:rPr>
      </w:pPr>
      <w:bookmarkStart w:id="29" w:name="_Toc229395866"/>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9</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873452" w:rsidRPr="006068A2">
        <w:rPr>
          <w:rFonts w:ascii="Arial" w:hAnsi="Arial" w:cs="Arial"/>
          <w:i w:val="0"/>
          <w:iCs w:val="0"/>
          <w:color w:val="auto"/>
          <w:sz w:val="22"/>
          <w:szCs w:val="22"/>
        </w:rPr>
        <w:t>Total,</w:t>
      </w:r>
      <w:r w:rsidRPr="006068A2">
        <w:rPr>
          <w:rFonts w:ascii="Arial" w:hAnsi="Arial" w:cs="Arial"/>
          <w:i w:val="0"/>
          <w:iCs w:val="0"/>
          <w:color w:val="auto"/>
          <w:sz w:val="22"/>
          <w:szCs w:val="22"/>
        </w:rPr>
        <w:t xml:space="preserve"> de PQRS año 2025 EPS Coosalud</w:t>
      </w:r>
      <w:bookmarkEnd w:id="29"/>
    </w:p>
    <w:tbl>
      <w:tblPr>
        <w:tblStyle w:val="Tablaconcuadrcula"/>
        <w:tblW w:w="9563" w:type="dxa"/>
        <w:tblLook w:val="04A0" w:firstRow="1" w:lastRow="0" w:firstColumn="1" w:lastColumn="0" w:noHBand="0" w:noVBand="1"/>
      </w:tblPr>
      <w:tblGrid>
        <w:gridCol w:w="4769"/>
        <w:gridCol w:w="2475"/>
        <w:gridCol w:w="2319"/>
      </w:tblGrid>
      <w:tr w:rsidR="00F81D98" w:rsidRPr="006068A2" w14:paraId="2206E5ED" w14:textId="77777777" w:rsidTr="00F81D98">
        <w:trPr>
          <w:trHeight w:val="407"/>
        </w:trPr>
        <w:tc>
          <w:tcPr>
            <w:tcW w:w="4769" w:type="dxa"/>
            <w:hideMark/>
          </w:tcPr>
          <w:p w14:paraId="35C28956" w14:textId="738C3FE0"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REGIMEN CONTRIBUTIVO</w:t>
            </w:r>
          </w:p>
        </w:tc>
        <w:tc>
          <w:tcPr>
            <w:tcW w:w="2475" w:type="dxa"/>
            <w:hideMark/>
          </w:tcPr>
          <w:p w14:paraId="031B78CB"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p>
        </w:tc>
        <w:tc>
          <w:tcPr>
            <w:tcW w:w="2319" w:type="dxa"/>
            <w:hideMark/>
          </w:tcPr>
          <w:p w14:paraId="4FF5C156"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PQRS</w:t>
            </w:r>
          </w:p>
        </w:tc>
      </w:tr>
      <w:tr w:rsidR="00F81D98" w:rsidRPr="006068A2" w14:paraId="7A99A722" w14:textId="77777777" w:rsidTr="00F81D98">
        <w:trPr>
          <w:trHeight w:val="407"/>
        </w:trPr>
        <w:tc>
          <w:tcPr>
            <w:tcW w:w="4769" w:type="dxa"/>
            <w:noWrap/>
            <w:hideMark/>
          </w:tcPr>
          <w:p w14:paraId="7DAF6BDE"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EPS-C</w:t>
            </w:r>
          </w:p>
        </w:tc>
        <w:tc>
          <w:tcPr>
            <w:tcW w:w="2475" w:type="dxa"/>
            <w:noWrap/>
            <w:hideMark/>
          </w:tcPr>
          <w:p w14:paraId="4DCA1B62"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29</w:t>
            </w:r>
          </w:p>
        </w:tc>
        <w:tc>
          <w:tcPr>
            <w:tcW w:w="2319" w:type="dxa"/>
            <w:noWrap/>
            <w:hideMark/>
          </w:tcPr>
          <w:p w14:paraId="5D8962A1" w14:textId="5E4B1491"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11</w:t>
            </w:r>
            <w:r w:rsidR="00D56650">
              <w:rPr>
                <w:rFonts w:ascii="Arial" w:hAnsi="Arial" w:cs="Arial"/>
                <w:kern w:val="0"/>
                <w:sz w:val="22"/>
                <w:szCs w:val="22"/>
                <w:lang w:eastAsia="es-CO"/>
                <w14:ligatures w14:val="none"/>
              </w:rPr>
              <w:t>%</w:t>
            </w:r>
          </w:p>
        </w:tc>
      </w:tr>
      <w:tr w:rsidR="00F81D98" w:rsidRPr="006068A2" w14:paraId="04E0A6A9" w14:textId="77777777" w:rsidTr="00F81D98">
        <w:trPr>
          <w:trHeight w:val="505"/>
        </w:trPr>
        <w:tc>
          <w:tcPr>
            <w:tcW w:w="4769" w:type="dxa"/>
            <w:noWrap/>
            <w:hideMark/>
          </w:tcPr>
          <w:p w14:paraId="73ADABB9"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ESP-S</w:t>
            </w:r>
          </w:p>
        </w:tc>
        <w:tc>
          <w:tcPr>
            <w:tcW w:w="2475" w:type="dxa"/>
            <w:noWrap/>
            <w:hideMark/>
          </w:tcPr>
          <w:p w14:paraId="68A1D97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234</w:t>
            </w:r>
          </w:p>
        </w:tc>
        <w:tc>
          <w:tcPr>
            <w:tcW w:w="2319" w:type="dxa"/>
            <w:noWrap/>
            <w:hideMark/>
          </w:tcPr>
          <w:p w14:paraId="24204415" w14:textId="0160E4BB" w:rsidR="00F81D98" w:rsidRPr="006068A2" w:rsidRDefault="00F81D98" w:rsidP="00D56650">
            <w:pPr>
              <w:spacing w:line="360" w:lineRule="auto"/>
              <w:ind w:left="708" w:hanging="708"/>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89</w:t>
            </w:r>
            <w:r w:rsidR="00D56650">
              <w:rPr>
                <w:rFonts w:ascii="Arial" w:hAnsi="Arial" w:cs="Arial"/>
                <w:kern w:val="0"/>
                <w:sz w:val="22"/>
                <w:szCs w:val="22"/>
                <w:lang w:eastAsia="es-CO"/>
                <w14:ligatures w14:val="none"/>
              </w:rPr>
              <w:t>%</w:t>
            </w:r>
          </w:p>
        </w:tc>
      </w:tr>
      <w:tr w:rsidR="00F81D98" w:rsidRPr="006068A2" w14:paraId="018C3F93" w14:textId="77777777" w:rsidTr="00F81D98">
        <w:trPr>
          <w:trHeight w:val="505"/>
        </w:trPr>
        <w:tc>
          <w:tcPr>
            <w:tcW w:w="4769" w:type="dxa"/>
            <w:noWrap/>
            <w:hideMark/>
          </w:tcPr>
          <w:p w14:paraId="39664A62" w14:textId="44A1DE0B" w:rsidR="00F81D98" w:rsidRPr="006068A2" w:rsidRDefault="00CA486B"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r w:rsidR="00F81D98" w:rsidRPr="006068A2">
              <w:rPr>
                <w:rFonts w:ascii="Arial" w:hAnsi="Arial" w:cs="Arial"/>
                <w:b/>
                <w:bCs/>
                <w:kern w:val="0"/>
                <w:sz w:val="22"/>
                <w:szCs w:val="22"/>
                <w:lang w:eastAsia="es-CO"/>
                <w14:ligatures w14:val="none"/>
              </w:rPr>
              <w:t xml:space="preserve"> general</w:t>
            </w:r>
          </w:p>
        </w:tc>
        <w:tc>
          <w:tcPr>
            <w:tcW w:w="2475" w:type="dxa"/>
            <w:noWrap/>
            <w:hideMark/>
          </w:tcPr>
          <w:p w14:paraId="244052CB"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263</w:t>
            </w:r>
          </w:p>
        </w:tc>
        <w:tc>
          <w:tcPr>
            <w:tcW w:w="2319" w:type="dxa"/>
            <w:noWrap/>
            <w:hideMark/>
          </w:tcPr>
          <w:p w14:paraId="52B4EA45" w14:textId="7D339C8B"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r w:rsidR="00D56650">
              <w:rPr>
                <w:rFonts w:ascii="Arial" w:hAnsi="Arial" w:cs="Arial"/>
                <w:b/>
                <w:bCs/>
                <w:kern w:val="0"/>
                <w:sz w:val="22"/>
                <w:szCs w:val="22"/>
                <w:lang w:eastAsia="es-CO"/>
                <w14:ligatures w14:val="none"/>
              </w:rPr>
              <w:t>%</w:t>
            </w:r>
          </w:p>
        </w:tc>
      </w:tr>
    </w:tbl>
    <w:p w14:paraId="7C6F8A18" w14:textId="77777777" w:rsidR="00F81D98" w:rsidRPr="00D56650" w:rsidRDefault="00F81D98" w:rsidP="006068A2">
      <w:pPr>
        <w:spacing w:line="360" w:lineRule="auto"/>
        <w:jc w:val="both"/>
        <w:rPr>
          <w:rFonts w:ascii="Arial" w:hAnsi="Arial" w:cs="Arial"/>
          <w:sz w:val="16"/>
          <w:szCs w:val="16"/>
        </w:rPr>
      </w:pPr>
      <w:r w:rsidRPr="00D56650">
        <w:rPr>
          <w:rFonts w:ascii="Arial" w:hAnsi="Arial" w:cs="Arial"/>
          <w:sz w:val="16"/>
          <w:szCs w:val="16"/>
        </w:rPr>
        <w:t>Fuente: Base de datos Bogotá Te Escucha - Dirección de Aseguramiento y Garantía del Derecho a la Salud-2026.- Sistema de información para el Monitoreo del Acceso-SIDMA</w:t>
      </w:r>
    </w:p>
    <w:p w14:paraId="77ADCACA" w14:textId="77777777" w:rsidR="00F81D98" w:rsidRPr="006068A2" w:rsidRDefault="00F81D98" w:rsidP="006068A2">
      <w:pPr>
        <w:spacing w:line="360" w:lineRule="auto"/>
        <w:jc w:val="both"/>
        <w:rPr>
          <w:rFonts w:ascii="Arial" w:hAnsi="Arial" w:cs="Arial"/>
          <w:sz w:val="22"/>
          <w:szCs w:val="22"/>
        </w:rPr>
      </w:pPr>
    </w:p>
    <w:p w14:paraId="5A3EF689" w14:textId="77777777" w:rsidR="001D17B0" w:rsidRPr="001D17B0" w:rsidRDefault="001D17B0" w:rsidP="001D17B0">
      <w:pPr>
        <w:spacing w:line="360" w:lineRule="auto"/>
        <w:jc w:val="both"/>
        <w:rPr>
          <w:rFonts w:ascii="Arial" w:hAnsi="Arial" w:cs="Arial"/>
          <w:sz w:val="22"/>
          <w:szCs w:val="22"/>
        </w:rPr>
      </w:pPr>
      <w:r w:rsidRPr="001D17B0">
        <w:rPr>
          <w:rFonts w:ascii="Arial" w:hAnsi="Arial" w:cs="Arial"/>
          <w:sz w:val="22"/>
          <w:szCs w:val="22"/>
        </w:rPr>
        <w:t xml:space="preserve">El predominio de PQRS en el régimen subsidiado resulta consistente con la mayor participación de esta población dentro de la operación de la EPS y puede estar relacionado </w:t>
      </w:r>
      <w:r w:rsidRPr="001D17B0">
        <w:rPr>
          <w:rFonts w:ascii="Arial" w:hAnsi="Arial" w:cs="Arial"/>
          <w:sz w:val="22"/>
          <w:szCs w:val="22"/>
        </w:rPr>
        <w:lastRenderedPageBreak/>
        <w:t>con mayores necesidades de acompañamiento, barreras administrativas o dificultades en el acceso efectivo a los servicios de salud. En términos analíticos, esta concentración indica que la mayor parte de las manifestaciones ciudadanas atendidas por la Subdirección se origina en usuarios con condiciones potencialmente más sensibles frente a la garantía del aseguramiento, lo que refuerza la necesidad de focalizar acciones de inspección, vigilancia y seguimiento sobre los procesos que afectan la oportunidad de la atención, la continuidad de tratamientos, la autorización de servicios y la entrega de tecnologías en salud.</w:t>
      </w:r>
    </w:p>
    <w:p w14:paraId="3C84BE69" w14:textId="77777777" w:rsidR="001D17B0" w:rsidRPr="001D17B0" w:rsidRDefault="001D17B0" w:rsidP="001D17B0">
      <w:pPr>
        <w:spacing w:line="360" w:lineRule="auto"/>
        <w:jc w:val="both"/>
        <w:rPr>
          <w:rFonts w:ascii="Arial" w:hAnsi="Arial" w:cs="Arial"/>
          <w:sz w:val="22"/>
          <w:szCs w:val="22"/>
        </w:rPr>
      </w:pPr>
    </w:p>
    <w:p w14:paraId="4B039A3B" w14:textId="4B89976A" w:rsidR="00F81D98" w:rsidRDefault="001D17B0" w:rsidP="001D17B0">
      <w:pPr>
        <w:spacing w:line="360" w:lineRule="auto"/>
        <w:jc w:val="both"/>
        <w:rPr>
          <w:rFonts w:ascii="Arial" w:hAnsi="Arial" w:cs="Arial"/>
          <w:sz w:val="22"/>
          <w:szCs w:val="22"/>
        </w:rPr>
      </w:pPr>
      <w:r w:rsidRPr="001D17B0">
        <w:rPr>
          <w:rFonts w:ascii="Arial" w:hAnsi="Arial" w:cs="Arial"/>
          <w:sz w:val="22"/>
          <w:szCs w:val="22"/>
        </w:rPr>
        <w:t>En este contexto, el comportamiento de las PQRS de COOSALUD EPS durante 2025 no solo permite identificar la magnitud de las inconformidades registradas, sino también reconocer que las principales tensiones del aseguramiento se concentran en el régimen subsidiado, donde se acumula casi nueve de cada diez manifestaciones tramitadas. Este resultado constituye un insumo relevante para orientar acciones correctivas y preventivas, priorizar intervenciones sobre los puntos críticos de la operación y fortalecer la respuesta institucional frente a las necesidades de la población afiliada más vulnerable.</w:t>
      </w:r>
    </w:p>
    <w:p w14:paraId="4345D667" w14:textId="77777777" w:rsidR="001D17B0" w:rsidRPr="006068A2" w:rsidRDefault="001D17B0" w:rsidP="001D17B0">
      <w:pPr>
        <w:spacing w:line="360" w:lineRule="auto"/>
        <w:jc w:val="both"/>
        <w:rPr>
          <w:rFonts w:ascii="Arial" w:hAnsi="Arial" w:cs="Arial"/>
          <w:sz w:val="22"/>
          <w:szCs w:val="22"/>
        </w:rPr>
      </w:pPr>
    </w:p>
    <w:p w14:paraId="6440A944" w14:textId="43701B88" w:rsidR="00F81D98" w:rsidRPr="00556B9A" w:rsidRDefault="00556B9A" w:rsidP="00556B9A">
      <w:pPr>
        <w:pStyle w:val="Ttulo2"/>
        <w:numPr>
          <w:ilvl w:val="1"/>
          <w:numId w:val="9"/>
        </w:numPr>
        <w:spacing w:before="0" w:line="360" w:lineRule="auto"/>
        <w:jc w:val="both"/>
        <w:rPr>
          <w:rFonts w:ascii="Arial" w:eastAsia="Arial" w:hAnsi="Arial" w:cs="Arial"/>
          <w:b/>
          <w:bCs/>
          <w:color w:val="auto"/>
          <w:sz w:val="22"/>
          <w:szCs w:val="22"/>
        </w:rPr>
      </w:pPr>
      <w:bookmarkStart w:id="30" w:name="_Toc229397840"/>
      <w:r w:rsidRPr="00556B9A">
        <w:rPr>
          <w:rFonts w:ascii="Arial" w:eastAsia="Arial" w:hAnsi="Arial" w:cs="Arial"/>
          <w:b/>
          <w:bCs/>
          <w:color w:val="auto"/>
          <w:sz w:val="22"/>
          <w:szCs w:val="22"/>
        </w:rPr>
        <w:t xml:space="preserve">Oportunidad de respuesta </w:t>
      </w:r>
      <w:r w:rsidR="00FE1BF2" w:rsidRPr="00556B9A">
        <w:rPr>
          <w:rFonts w:ascii="Arial" w:eastAsia="Arial" w:hAnsi="Arial" w:cs="Arial"/>
          <w:b/>
          <w:bCs/>
          <w:color w:val="auto"/>
          <w:sz w:val="22"/>
          <w:szCs w:val="22"/>
        </w:rPr>
        <w:t xml:space="preserve">EPS </w:t>
      </w:r>
      <w:r w:rsidR="00DB7044" w:rsidRPr="00556B9A">
        <w:rPr>
          <w:rFonts w:ascii="Arial" w:eastAsia="Arial" w:hAnsi="Arial" w:cs="Arial"/>
          <w:b/>
          <w:bCs/>
          <w:color w:val="auto"/>
          <w:sz w:val="22"/>
          <w:szCs w:val="22"/>
        </w:rPr>
        <w:t xml:space="preserve">COOSALUD </w:t>
      </w:r>
      <w:r w:rsidRPr="00556B9A">
        <w:rPr>
          <w:rFonts w:ascii="Arial" w:eastAsia="Arial" w:hAnsi="Arial" w:cs="Arial"/>
          <w:b/>
          <w:bCs/>
          <w:color w:val="auto"/>
          <w:sz w:val="22"/>
          <w:szCs w:val="22"/>
        </w:rPr>
        <w:t>Año 2025</w:t>
      </w:r>
      <w:bookmarkEnd w:id="30"/>
    </w:p>
    <w:p w14:paraId="1D64E79D" w14:textId="77777777" w:rsidR="00CA486B" w:rsidRDefault="00CA486B" w:rsidP="006068A2">
      <w:pPr>
        <w:spacing w:line="360" w:lineRule="auto"/>
        <w:jc w:val="both"/>
        <w:rPr>
          <w:rFonts w:ascii="Arial" w:hAnsi="Arial" w:cs="Arial"/>
          <w:sz w:val="22"/>
          <w:szCs w:val="22"/>
        </w:rPr>
      </w:pPr>
    </w:p>
    <w:p w14:paraId="45A7665D" w14:textId="47A8CC23" w:rsidR="00F81D98" w:rsidRDefault="002954EE" w:rsidP="006068A2">
      <w:pPr>
        <w:spacing w:line="360" w:lineRule="auto"/>
        <w:jc w:val="both"/>
        <w:rPr>
          <w:rFonts w:ascii="Arial" w:hAnsi="Arial" w:cs="Arial"/>
          <w:sz w:val="22"/>
          <w:szCs w:val="22"/>
        </w:rPr>
      </w:pPr>
      <w:r w:rsidRPr="002954EE">
        <w:rPr>
          <w:rFonts w:ascii="Arial" w:hAnsi="Arial" w:cs="Arial"/>
          <w:sz w:val="22"/>
          <w:szCs w:val="22"/>
        </w:rPr>
        <w:t>Para el año 2025 se evidenció que el tiempo promedio de respuesta de fondo a las 263 PQRS trasladadas a COOSALUD EPS fue de 29 días hábiles, de acuerdo con la información consolidada por la Subdirección de Garantía del Aseguramiento. Este resultado muestra una oportunidad de respuesta superior al término general de 15 días hábiles previsto en la normatividad aplicable para las peticiones de interés particular, lo que sugiere demoras relevantes en la gestión de las manifestaciones ciudadanas. No obstante, dado que algunas PQRS pueden corresponder a categorías con tiempos diferenciales de respuesta según su nivel de riesgo, este resultado debe interpretarse de manera complementaria con el análisis específico de cumplimiento por tipo de manifestación.</w:t>
      </w:r>
    </w:p>
    <w:p w14:paraId="248D4964" w14:textId="77777777" w:rsidR="002954EE" w:rsidRPr="006068A2" w:rsidRDefault="002954EE" w:rsidP="006068A2">
      <w:pPr>
        <w:spacing w:line="360" w:lineRule="auto"/>
        <w:jc w:val="both"/>
        <w:rPr>
          <w:rFonts w:ascii="Arial" w:hAnsi="Arial" w:cs="Arial"/>
          <w:sz w:val="22"/>
          <w:szCs w:val="22"/>
        </w:rPr>
      </w:pPr>
    </w:p>
    <w:p w14:paraId="538635FF" w14:textId="1BA6CA4C" w:rsidR="00F81D98" w:rsidRPr="006068A2" w:rsidRDefault="00E2542F" w:rsidP="00A40F59">
      <w:pPr>
        <w:pStyle w:val="Descripcin"/>
        <w:spacing w:after="0" w:line="360" w:lineRule="auto"/>
        <w:jc w:val="both"/>
        <w:rPr>
          <w:rFonts w:ascii="Arial" w:hAnsi="Arial" w:cs="Arial"/>
          <w:i w:val="0"/>
          <w:iCs w:val="0"/>
          <w:color w:val="auto"/>
          <w:sz w:val="22"/>
          <w:szCs w:val="22"/>
        </w:rPr>
      </w:pPr>
      <w:bookmarkStart w:id="31" w:name="_Toc229395922"/>
      <w:r>
        <w:rPr>
          <w:rFonts w:ascii="Arial" w:hAnsi="Arial" w:cs="Arial"/>
          <w:i w:val="0"/>
          <w:iCs w:val="0"/>
          <w:color w:val="auto"/>
          <w:sz w:val="22"/>
          <w:szCs w:val="22"/>
        </w:rPr>
        <w:t>Gráfica</w:t>
      </w:r>
      <w:r w:rsidR="006203BE" w:rsidRPr="006068A2">
        <w:rPr>
          <w:rFonts w:ascii="Arial" w:hAnsi="Arial" w:cs="Arial"/>
          <w:i w:val="0"/>
          <w:iCs w:val="0"/>
          <w:color w:val="auto"/>
          <w:sz w:val="22"/>
          <w:szCs w:val="22"/>
        </w:rPr>
        <w:t xml:space="preserve"> </w:t>
      </w:r>
      <w:r w:rsidR="006203BE" w:rsidRPr="006068A2">
        <w:rPr>
          <w:rFonts w:ascii="Arial" w:hAnsi="Arial" w:cs="Arial"/>
          <w:i w:val="0"/>
          <w:iCs w:val="0"/>
          <w:color w:val="auto"/>
          <w:sz w:val="22"/>
          <w:szCs w:val="22"/>
        </w:rPr>
        <w:fldChar w:fldCharType="begin"/>
      </w:r>
      <w:r w:rsidR="006203BE" w:rsidRPr="006068A2">
        <w:rPr>
          <w:rFonts w:ascii="Arial" w:hAnsi="Arial" w:cs="Arial"/>
          <w:i w:val="0"/>
          <w:iCs w:val="0"/>
          <w:color w:val="auto"/>
          <w:sz w:val="22"/>
          <w:szCs w:val="22"/>
        </w:rPr>
        <w:instrText xml:space="preserve"> SEQ Ilustración \* ARABIC </w:instrText>
      </w:r>
      <w:r w:rsidR="006203BE"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4</w:t>
      </w:r>
      <w:r w:rsidR="006203BE" w:rsidRPr="006068A2">
        <w:rPr>
          <w:rFonts w:ascii="Arial" w:hAnsi="Arial" w:cs="Arial"/>
          <w:i w:val="0"/>
          <w:iCs w:val="0"/>
          <w:color w:val="auto"/>
          <w:sz w:val="22"/>
          <w:szCs w:val="22"/>
        </w:rPr>
        <w:fldChar w:fldCharType="end"/>
      </w:r>
      <w:r w:rsidR="006203BE" w:rsidRPr="006068A2">
        <w:rPr>
          <w:rFonts w:ascii="Arial" w:hAnsi="Arial" w:cs="Arial"/>
          <w:i w:val="0"/>
          <w:iCs w:val="0"/>
          <w:color w:val="auto"/>
          <w:sz w:val="22"/>
          <w:szCs w:val="22"/>
        </w:rPr>
        <w:t xml:space="preserve">. </w:t>
      </w:r>
      <w:r w:rsidR="00F81D98" w:rsidRPr="006068A2">
        <w:rPr>
          <w:rFonts w:ascii="Arial" w:hAnsi="Arial" w:cs="Arial"/>
          <w:i w:val="0"/>
          <w:iCs w:val="0"/>
          <w:color w:val="auto"/>
          <w:sz w:val="22"/>
          <w:szCs w:val="22"/>
        </w:rPr>
        <w:t>Oportunidad de respuesta en días hábiles</w:t>
      </w:r>
      <w:r w:rsidR="00562305">
        <w:rPr>
          <w:rFonts w:ascii="Arial" w:hAnsi="Arial" w:cs="Arial"/>
          <w:i w:val="0"/>
          <w:iCs w:val="0"/>
          <w:color w:val="auto"/>
          <w:sz w:val="22"/>
          <w:szCs w:val="22"/>
        </w:rPr>
        <w:t xml:space="preserve"> de enero a diciembre de 2025</w:t>
      </w:r>
      <w:bookmarkEnd w:id="31"/>
    </w:p>
    <w:p w14:paraId="5ED25346" w14:textId="31AC3767" w:rsidR="00F81D98" w:rsidRDefault="00F81D98" w:rsidP="006068A2">
      <w:pPr>
        <w:spacing w:line="360" w:lineRule="auto"/>
        <w:jc w:val="both"/>
        <w:rPr>
          <w:rFonts w:ascii="Arial" w:hAnsi="Arial" w:cs="Arial"/>
          <w:noProof/>
          <w:sz w:val="22"/>
          <w:szCs w:val="22"/>
          <w:lang w:eastAsia="es-CO"/>
        </w:rPr>
      </w:pPr>
    </w:p>
    <w:p w14:paraId="533C5E36" w14:textId="6635C667" w:rsidR="002954EE" w:rsidRDefault="002954EE" w:rsidP="006068A2">
      <w:pPr>
        <w:spacing w:line="360" w:lineRule="auto"/>
        <w:jc w:val="both"/>
        <w:rPr>
          <w:rFonts w:ascii="Arial" w:hAnsi="Arial" w:cs="Arial"/>
          <w:noProof/>
          <w:sz w:val="22"/>
          <w:szCs w:val="22"/>
          <w:lang w:eastAsia="es-CO"/>
        </w:rPr>
      </w:pPr>
      <w:r>
        <w:rPr>
          <w:noProof/>
        </w:rPr>
        <w:lastRenderedPageBreak/>
        <w:drawing>
          <wp:anchor distT="0" distB="0" distL="114300" distR="114300" simplePos="0" relativeHeight="251666432" behindDoc="0" locked="0" layoutInCell="1" allowOverlap="1" wp14:anchorId="0F69B99F" wp14:editId="1D59185D">
            <wp:simplePos x="0" y="0"/>
            <wp:positionH relativeFrom="column">
              <wp:posOffset>-422910</wp:posOffset>
            </wp:positionH>
            <wp:positionV relativeFrom="paragraph">
              <wp:posOffset>205740</wp:posOffset>
            </wp:positionV>
            <wp:extent cx="6610350" cy="3295650"/>
            <wp:effectExtent l="0" t="0" r="0" b="0"/>
            <wp:wrapTopAndBottom/>
            <wp:docPr id="8" name="Gráfico 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p>
    <w:p w14:paraId="45D183E3" w14:textId="77777777" w:rsidR="00F81D98" w:rsidRPr="00C23D44" w:rsidRDefault="00F81D98" w:rsidP="006068A2">
      <w:pPr>
        <w:spacing w:line="360" w:lineRule="auto"/>
        <w:jc w:val="both"/>
        <w:rPr>
          <w:rFonts w:ascii="Arial" w:hAnsi="Arial" w:cs="Arial"/>
          <w:sz w:val="16"/>
          <w:szCs w:val="16"/>
        </w:rPr>
      </w:pPr>
      <w:r w:rsidRPr="00C23D44">
        <w:rPr>
          <w:rFonts w:ascii="Arial" w:hAnsi="Arial" w:cs="Arial"/>
          <w:sz w:val="16"/>
          <w:szCs w:val="16"/>
        </w:rPr>
        <w:t> Fuente: Base de datos Bogotá Te Escucha - Dirección de Aseguramiento y Garantía del Derecho a la Salud-2026.- Sistema de información para el Monitoreo del Acceso-SIDMA</w:t>
      </w:r>
    </w:p>
    <w:p w14:paraId="4D8F51F2" w14:textId="77777777" w:rsidR="006203BE" w:rsidRDefault="006203BE" w:rsidP="006068A2">
      <w:pPr>
        <w:spacing w:line="360" w:lineRule="auto"/>
        <w:jc w:val="both"/>
        <w:rPr>
          <w:rFonts w:ascii="Arial" w:hAnsi="Arial" w:cs="Arial"/>
          <w:sz w:val="22"/>
          <w:szCs w:val="22"/>
        </w:rPr>
      </w:pPr>
    </w:p>
    <w:p w14:paraId="00330661" w14:textId="59AA8C11" w:rsidR="00D926A7" w:rsidRDefault="00D926A7" w:rsidP="006068A2">
      <w:pPr>
        <w:spacing w:line="360" w:lineRule="auto"/>
        <w:jc w:val="both"/>
        <w:rPr>
          <w:rFonts w:ascii="Arial" w:hAnsi="Arial" w:cs="Arial"/>
          <w:sz w:val="22"/>
          <w:szCs w:val="22"/>
        </w:rPr>
      </w:pPr>
      <w:r w:rsidRPr="00D926A7">
        <w:rPr>
          <w:rFonts w:ascii="Arial" w:hAnsi="Arial" w:cs="Arial"/>
          <w:sz w:val="22"/>
          <w:szCs w:val="22"/>
        </w:rPr>
        <w:t xml:space="preserve">La </w:t>
      </w:r>
      <w:r w:rsidR="00E2542F">
        <w:rPr>
          <w:rFonts w:ascii="Arial" w:hAnsi="Arial" w:cs="Arial"/>
          <w:sz w:val="22"/>
          <w:szCs w:val="22"/>
        </w:rPr>
        <w:t>Gráfica</w:t>
      </w:r>
      <w:r w:rsidRPr="00D926A7">
        <w:rPr>
          <w:rFonts w:ascii="Arial" w:hAnsi="Arial" w:cs="Arial"/>
          <w:sz w:val="22"/>
          <w:szCs w:val="22"/>
        </w:rPr>
        <w:t xml:space="preserve"> 4 evidencia un comportamiento fluctuante en la oportunidad de respuesta de COOSALUD EPS durante 2025, con variaciones importantes entre los diferentes meses del año. Los mayores tiempos promedio de respuesta se registraron en marzo, con 50 días hábiles, seguido de enero con 45 días y abril con 40 días, valores que superan ampliamente el término general de 15 días hábiles y reflejan periodos de mayor rezago en la gestión de las PQRS. </w:t>
      </w:r>
    </w:p>
    <w:p w14:paraId="4B0B7052" w14:textId="77777777" w:rsidR="00D926A7" w:rsidRDefault="00D926A7" w:rsidP="006068A2">
      <w:pPr>
        <w:spacing w:line="360" w:lineRule="auto"/>
        <w:jc w:val="both"/>
        <w:rPr>
          <w:rFonts w:ascii="Arial" w:hAnsi="Arial" w:cs="Arial"/>
          <w:sz w:val="22"/>
          <w:szCs w:val="22"/>
        </w:rPr>
      </w:pPr>
    </w:p>
    <w:p w14:paraId="785E8AC3" w14:textId="40886159" w:rsidR="00D926A7" w:rsidRPr="00FD7FF7" w:rsidRDefault="00D926A7" w:rsidP="006068A2">
      <w:pPr>
        <w:spacing w:line="360" w:lineRule="auto"/>
        <w:jc w:val="both"/>
        <w:rPr>
          <w:rFonts w:ascii="Arial" w:hAnsi="Arial" w:cs="Arial"/>
          <w:sz w:val="22"/>
          <w:szCs w:val="22"/>
        </w:rPr>
      </w:pPr>
      <w:r w:rsidRPr="00D926A7">
        <w:rPr>
          <w:rFonts w:ascii="Arial" w:hAnsi="Arial" w:cs="Arial"/>
          <w:sz w:val="22"/>
          <w:szCs w:val="22"/>
        </w:rPr>
        <w:t>Aunque en meses como octubre y noviembre el promedio descendió a 15 días hábiles, alineándose con el referente normativo general, el comportamiento global del año muestra que estos resultados favorables no fueron sostenidos. En efecto, el promedio anual de 29 días hábiles confirma una oportunidad de respuesta persistentemente insuficiente, lo que sugiere dificultades operativas en la atención, trámite y cierre de las manifestaciones ciudadanas. En este contexto, la variabilidad mensual observada puede estar asociada a problemas en la capacidad de gestión, acumulación de casos, tiempos de escalamiento interno o debilidades en el seguimiento a los plazos de respuesta, aspectos que ameritan revisión y fortalecimiento institucional.</w:t>
      </w:r>
    </w:p>
    <w:p w14:paraId="0AF1C7A6" w14:textId="77777777" w:rsidR="006203BE" w:rsidRPr="006068A2" w:rsidRDefault="006203BE" w:rsidP="006068A2">
      <w:pPr>
        <w:spacing w:line="360" w:lineRule="auto"/>
        <w:jc w:val="both"/>
        <w:rPr>
          <w:rFonts w:ascii="Arial" w:hAnsi="Arial" w:cs="Arial"/>
          <w:sz w:val="22"/>
          <w:szCs w:val="22"/>
        </w:rPr>
      </w:pPr>
    </w:p>
    <w:p w14:paraId="11BD850B" w14:textId="050B3699" w:rsidR="00F81D98" w:rsidRPr="00DB6166" w:rsidRDefault="00DB6166" w:rsidP="00DB6166">
      <w:pPr>
        <w:pStyle w:val="Ttulo2"/>
        <w:numPr>
          <w:ilvl w:val="1"/>
          <w:numId w:val="9"/>
        </w:numPr>
        <w:spacing w:before="0" w:line="360" w:lineRule="auto"/>
        <w:jc w:val="both"/>
        <w:rPr>
          <w:rFonts w:ascii="Arial" w:eastAsia="Arial" w:hAnsi="Arial" w:cs="Arial"/>
          <w:b/>
          <w:bCs/>
          <w:color w:val="auto"/>
          <w:sz w:val="22"/>
          <w:szCs w:val="22"/>
        </w:rPr>
      </w:pPr>
      <w:bookmarkStart w:id="32" w:name="_Toc229397841"/>
      <w:r w:rsidRPr="00DB6166">
        <w:rPr>
          <w:rFonts w:ascii="Arial" w:eastAsia="Arial" w:hAnsi="Arial" w:cs="Arial"/>
          <w:b/>
          <w:bCs/>
          <w:color w:val="auto"/>
          <w:sz w:val="22"/>
          <w:szCs w:val="22"/>
        </w:rPr>
        <w:t xml:space="preserve">Barreras de acceso Año 2025 </w:t>
      </w:r>
      <w:r w:rsidR="006532D0" w:rsidRPr="00DB6166">
        <w:rPr>
          <w:rFonts w:ascii="Arial" w:eastAsia="Arial" w:hAnsi="Arial" w:cs="Arial"/>
          <w:b/>
          <w:bCs/>
          <w:color w:val="auto"/>
          <w:sz w:val="22"/>
          <w:szCs w:val="22"/>
        </w:rPr>
        <w:t>EPS COOSALUD</w:t>
      </w:r>
      <w:bookmarkEnd w:id="32"/>
    </w:p>
    <w:p w14:paraId="753678FE"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55545A11" w14:textId="527CE8F7" w:rsidR="00DB6166" w:rsidRDefault="00DB6166" w:rsidP="006068A2">
      <w:pPr>
        <w:pStyle w:val="Descripcin"/>
        <w:spacing w:after="0" w:line="360" w:lineRule="auto"/>
        <w:jc w:val="both"/>
        <w:rPr>
          <w:rFonts w:ascii="Arial" w:hAnsi="Arial" w:cs="Arial"/>
          <w:i w:val="0"/>
          <w:iCs w:val="0"/>
          <w:color w:val="auto"/>
          <w:sz w:val="22"/>
          <w:szCs w:val="22"/>
        </w:rPr>
      </w:pPr>
      <w:r w:rsidRPr="00DB6166">
        <w:rPr>
          <w:rFonts w:ascii="Arial" w:hAnsi="Arial" w:cs="Arial"/>
          <w:i w:val="0"/>
          <w:iCs w:val="0"/>
          <w:color w:val="auto"/>
          <w:sz w:val="22"/>
          <w:szCs w:val="22"/>
        </w:rPr>
        <w:t>Con el propósito de identificar las principales barreras de acceso que afectaron a la población afiliada a COOSALUD EPS en Bogotá D. C. durante la vigencia 2025, se analizó la clasificación de las PQRS tramitadas por la Subdirección de Garantía del Aseguramiento. Este análisis permite reconocer los eventos que con mayor frecuencia incidieron en la experiencia de los usuarios y en la garantía efectiva del acceso a los servicios de salud, así como orientar acciones de seguimiento y mejora sobre los componentes críticos de la operación de la EPS.</w:t>
      </w:r>
    </w:p>
    <w:p w14:paraId="25C0B441"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04528BD1" w14:textId="4B7A73A9" w:rsidR="000D3638" w:rsidRDefault="006203BE" w:rsidP="00A75D9C">
      <w:pPr>
        <w:pStyle w:val="Descripcin"/>
        <w:spacing w:after="0" w:line="360" w:lineRule="auto"/>
        <w:jc w:val="both"/>
        <w:rPr>
          <w:rFonts w:ascii="Arial" w:hAnsi="Arial" w:cs="Arial"/>
          <w:i w:val="0"/>
          <w:iCs w:val="0"/>
          <w:color w:val="auto"/>
          <w:sz w:val="22"/>
          <w:szCs w:val="22"/>
        </w:rPr>
      </w:pPr>
      <w:bookmarkStart w:id="33" w:name="_Toc229395867"/>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10</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w:t>
      </w:r>
      <w:r w:rsidR="00F81D98" w:rsidRPr="006068A2">
        <w:rPr>
          <w:rFonts w:ascii="Arial" w:hAnsi="Arial" w:cs="Arial"/>
          <w:i w:val="0"/>
          <w:iCs w:val="0"/>
          <w:color w:val="auto"/>
          <w:sz w:val="22"/>
          <w:szCs w:val="22"/>
        </w:rPr>
        <w:t xml:space="preserve"> Barreras de Acceso EPS COOSALUD año 2025</w:t>
      </w:r>
      <w:bookmarkEnd w:id="33"/>
    </w:p>
    <w:p w14:paraId="2EA5A7DA" w14:textId="3C7C36E4" w:rsidR="00F81D98" w:rsidRPr="006068A2" w:rsidRDefault="00F81D98" w:rsidP="006068A2">
      <w:pPr>
        <w:pStyle w:val="Descripcin"/>
        <w:spacing w:after="0" w:line="360" w:lineRule="auto"/>
        <w:jc w:val="both"/>
        <w:rPr>
          <w:rFonts w:ascii="Arial" w:hAnsi="Arial" w:cs="Arial"/>
          <w:i w:val="0"/>
          <w:iCs w:val="0"/>
          <w:color w:val="auto"/>
          <w:sz w:val="22"/>
          <w:szCs w:val="22"/>
        </w:rPr>
      </w:pP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LINK Excel.Sheet.12 "C:\\Users\\lysalamanca\\Downloads\\Información COOSALUD Vigencia 2025.xlsx" "Hoja1!F9C1:F19C3" \a \f 4 \h  \* MERGEFORMAT </w:instrText>
      </w:r>
      <w:r w:rsidRPr="006068A2">
        <w:rPr>
          <w:rFonts w:ascii="Arial" w:hAnsi="Arial" w:cs="Arial"/>
          <w:i w:val="0"/>
          <w:iCs w:val="0"/>
          <w:color w:val="auto"/>
          <w:sz w:val="22"/>
          <w:szCs w:val="22"/>
        </w:rPr>
        <w:fldChar w:fldCharType="separate"/>
      </w:r>
    </w:p>
    <w:tbl>
      <w:tblPr>
        <w:tblStyle w:val="Tablaconcuadrcula"/>
        <w:tblW w:w="5135" w:type="pct"/>
        <w:jc w:val="center"/>
        <w:tblLook w:val="04A0" w:firstRow="1" w:lastRow="0" w:firstColumn="1" w:lastColumn="0" w:noHBand="0" w:noVBand="1"/>
      </w:tblPr>
      <w:tblGrid>
        <w:gridCol w:w="7637"/>
        <w:gridCol w:w="1475"/>
        <w:gridCol w:w="584"/>
      </w:tblGrid>
      <w:tr w:rsidR="00F81D98" w:rsidRPr="00363099" w14:paraId="58CDB891" w14:textId="77777777" w:rsidTr="00B34B33">
        <w:trPr>
          <w:trHeight w:val="405"/>
          <w:tblHeader/>
          <w:jc w:val="center"/>
        </w:trPr>
        <w:tc>
          <w:tcPr>
            <w:tcW w:w="3819" w:type="pct"/>
            <w:noWrap/>
            <w:hideMark/>
          </w:tcPr>
          <w:p w14:paraId="24251A28" w14:textId="77777777" w:rsidR="00F81D98" w:rsidRPr="00363099" w:rsidRDefault="00F81D98" w:rsidP="00363099">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CATEGORIA- BARRERA DE ACCESO</w:t>
            </w:r>
          </w:p>
        </w:tc>
        <w:tc>
          <w:tcPr>
            <w:tcW w:w="747" w:type="pct"/>
            <w:hideMark/>
          </w:tcPr>
          <w:p w14:paraId="3E6940B4"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EPS COOSALUD</w:t>
            </w:r>
          </w:p>
        </w:tc>
        <w:tc>
          <w:tcPr>
            <w:tcW w:w="435" w:type="pct"/>
            <w:noWrap/>
            <w:hideMark/>
          </w:tcPr>
          <w:p w14:paraId="66E420D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w:t>
            </w:r>
          </w:p>
        </w:tc>
      </w:tr>
      <w:tr w:rsidR="00F81D98" w:rsidRPr="00363099" w14:paraId="226EA7AD" w14:textId="77777777" w:rsidTr="00363099">
        <w:trPr>
          <w:trHeight w:val="585"/>
          <w:jc w:val="center"/>
        </w:trPr>
        <w:tc>
          <w:tcPr>
            <w:tcW w:w="3819" w:type="pct"/>
            <w:hideMark/>
          </w:tcPr>
          <w:p w14:paraId="672E7D4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NO_OPORTUNIDAD_SERVICIOS</w:t>
            </w:r>
          </w:p>
        </w:tc>
        <w:tc>
          <w:tcPr>
            <w:tcW w:w="747" w:type="pct"/>
            <w:noWrap/>
            <w:hideMark/>
          </w:tcPr>
          <w:p w14:paraId="7D89B8A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194</w:t>
            </w:r>
          </w:p>
        </w:tc>
        <w:tc>
          <w:tcPr>
            <w:tcW w:w="435" w:type="pct"/>
            <w:noWrap/>
            <w:hideMark/>
          </w:tcPr>
          <w:p w14:paraId="277DDC0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74</w:t>
            </w:r>
          </w:p>
        </w:tc>
      </w:tr>
      <w:tr w:rsidR="00F81D98" w:rsidRPr="00363099" w14:paraId="3E93F661" w14:textId="77777777" w:rsidTr="00363099">
        <w:trPr>
          <w:trHeight w:val="510"/>
          <w:jc w:val="center"/>
        </w:trPr>
        <w:tc>
          <w:tcPr>
            <w:tcW w:w="3819" w:type="pct"/>
            <w:hideMark/>
          </w:tcPr>
          <w:p w14:paraId="0A2354FE"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NO_SUMINISTRO_MEDICAMENTOS</w:t>
            </w:r>
          </w:p>
        </w:tc>
        <w:tc>
          <w:tcPr>
            <w:tcW w:w="747" w:type="pct"/>
            <w:noWrap/>
            <w:hideMark/>
          </w:tcPr>
          <w:p w14:paraId="08805025"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45</w:t>
            </w:r>
          </w:p>
        </w:tc>
        <w:tc>
          <w:tcPr>
            <w:tcW w:w="435" w:type="pct"/>
            <w:noWrap/>
            <w:hideMark/>
          </w:tcPr>
          <w:p w14:paraId="3D8F53F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17</w:t>
            </w:r>
          </w:p>
        </w:tc>
      </w:tr>
      <w:tr w:rsidR="00F81D98" w:rsidRPr="00363099" w14:paraId="5A7A1B71" w14:textId="77777777" w:rsidTr="00363099">
        <w:trPr>
          <w:trHeight w:val="630"/>
          <w:jc w:val="center"/>
        </w:trPr>
        <w:tc>
          <w:tcPr>
            <w:tcW w:w="3819" w:type="pct"/>
            <w:hideMark/>
          </w:tcPr>
          <w:p w14:paraId="4D5FB90F"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DIFICULTAD_ACCESIBILIDAD_ADMINISTRATIVA</w:t>
            </w:r>
          </w:p>
        </w:tc>
        <w:tc>
          <w:tcPr>
            <w:tcW w:w="747" w:type="pct"/>
            <w:noWrap/>
            <w:hideMark/>
          </w:tcPr>
          <w:p w14:paraId="6C4B5BC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9</w:t>
            </w:r>
          </w:p>
        </w:tc>
        <w:tc>
          <w:tcPr>
            <w:tcW w:w="435" w:type="pct"/>
            <w:noWrap/>
            <w:hideMark/>
          </w:tcPr>
          <w:p w14:paraId="220CA74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2B149804" w14:textId="77777777" w:rsidTr="00363099">
        <w:trPr>
          <w:trHeight w:val="630"/>
          <w:jc w:val="center"/>
        </w:trPr>
        <w:tc>
          <w:tcPr>
            <w:tcW w:w="3819" w:type="pct"/>
            <w:hideMark/>
          </w:tcPr>
          <w:p w14:paraId="197BB74A"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INCONSISTENCIAS_SISTEMAS_DE_INFORMACIÓN_ASEGURAMIENTO</w:t>
            </w:r>
          </w:p>
        </w:tc>
        <w:tc>
          <w:tcPr>
            <w:tcW w:w="747" w:type="pct"/>
            <w:noWrap/>
            <w:hideMark/>
          </w:tcPr>
          <w:p w14:paraId="3A33415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8</w:t>
            </w:r>
          </w:p>
        </w:tc>
        <w:tc>
          <w:tcPr>
            <w:tcW w:w="435" w:type="pct"/>
            <w:noWrap/>
            <w:hideMark/>
          </w:tcPr>
          <w:p w14:paraId="5B5D731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659B05E3" w14:textId="77777777" w:rsidTr="00363099">
        <w:trPr>
          <w:trHeight w:val="600"/>
          <w:jc w:val="center"/>
        </w:trPr>
        <w:tc>
          <w:tcPr>
            <w:tcW w:w="3819" w:type="pct"/>
            <w:hideMark/>
          </w:tcPr>
          <w:p w14:paraId="50188B72"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ESTUDIOS_INFORMES_Y_ESTADÍSTICAS</w:t>
            </w:r>
          </w:p>
        </w:tc>
        <w:tc>
          <w:tcPr>
            <w:tcW w:w="747" w:type="pct"/>
            <w:noWrap/>
            <w:hideMark/>
          </w:tcPr>
          <w:p w14:paraId="58AA84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c>
          <w:tcPr>
            <w:tcW w:w="435" w:type="pct"/>
            <w:noWrap/>
            <w:hideMark/>
          </w:tcPr>
          <w:p w14:paraId="20B89E3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r>
      <w:tr w:rsidR="00F81D98" w:rsidRPr="00363099" w14:paraId="144C4B3E" w14:textId="77777777" w:rsidTr="00363099">
        <w:trPr>
          <w:trHeight w:val="450"/>
          <w:jc w:val="center"/>
        </w:trPr>
        <w:tc>
          <w:tcPr>
            <w:tcW w:w="3819" w:type="pct"/>
            <w:hideMark/>
          </w:tcPr>
          <w:p w14:paraId="073DC81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PROBLEMAS_RECURSOS_ECONÓMICOS</w:t>
            </w:r>
          </w:p>
        </w:tc>
        <w:tc>
          <w:tcPr>
            <w:tcW w:w="747" w:type="pct"/>
            <w:noWrap/>
            <w:hideMark/>
          </w:tcPr>
          <w:p w14:paraId="68328A3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75ECB0EC"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30A986A1" w14:textId="77777777" w:rsidTr="00363099">
        <w:trPr>
          <w:trHeight w:val="315"/>
          <w:jc w:val="center"/>
        </w:trPr>
        <w:tc>
          <w:tcPr>
            <w:tcW w:w="3819" w:type="pct"/>
            <w:hideMark/>
          </w:tcPr>
          <w:p w14:paraId="4DEF469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NEGACIÓN_SERVICIOS</w:t>
            </w:r>
          </w:p>
        </w:tc>
        <w:tc>
          <w:tcPr>
            <w:tcW w:w="747" w:type="pct"/>
            <w:noWrap/>
            <w:hideMark/>
          </w:tcPr>
          <w:p w14:paraId="6F73EA1E"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4CE963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20DD5BCE" w14:textId="77777777" w:rsidTr="00363099">
        <w:trPr>
          <w:trHeight w:val="315"/>
          <w:jc w:val="center"/>
        </w:trPr>
        <w:tc>
          <w:tcPr>
            <w:tcW w:w="3819" w:type="pct"/>
            <w:hideMark/>
          </w:tcPr>
          <w:p w14:paraId="729EAAC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DIFICULTAD_ALTO_COSTO</w:t>
            </w:r>
          </w:p>
        </w:tc>
        <w:tc>
          <w:tcPr>
            <w:tcW w:w="747" w:type="pct"/>
            <w:noWrap/>
            <w:hideMark/>
          </w:tcPr>
          <w:p w14:paraId="4C0B4B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686C614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4A5175AA" w14:textId="77777777" w:rsidTr="00363099">
        <w:trPr>
          <w:trHeight w:val="630"/>
          <w:jc w:val="center"/>
        </w:trPr>
        <w:tc>
          <w:tcPr>
            <w:tcW w:w="3819" w:type="pct"/>
            <w:hideMark/>
          </w:tcPr>
          <w:p w14:paraId="6717B45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INCUMPLIMIENTO_PORTABILIDAD_NACIONAL</w:t>
            </w:r>
          </w:p>
        </w:tc>
        <w:tc>
          <w:tcPr>
            <w:tcW w:w="747" w:type="pct"/>
            <w:noWrap/>
            <w:hideMark/>
          </w:tcPr>
          <w:p w14:paraId="136E6AE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0E0754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6068A2" w14:paraId="0B35AB84" w14:textId="77777777" w:rsidTr="00363099">
        <w:trPr>
          <w:trHeight w:val="315"/>
          <w:jc w:val="center"/>
        </w:trPr>
        <w:tc>
          <w:tcPr>
            <w:tcW w:w="3819" w:type="pct"/>
            <w:hideMark/>
          </w:tcPr>
          <w:p w14:paraId="321BE0BD"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TOTAL</w:t>
            </w:r>
          </w:p>
        </w:tc>
        <w:tc>
          <w:tcPr>
            <w:tcW w:w="747" w:type="pct"/>
            <w:noWrap/>
            <w:hideMark/>
          </w:tcPr>
          <w:p w14:paraId="72896E4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263</w:t>
            </w:r>
          </w:p>
        </w:tc>
        <w:tc>
          <w:tcPr>
            <w:tcW w:w="435" w:type="pct"/>
            <w:noWrap/>
            <w:hideMark/>
          </w:tcPr>
          <w:p w14:paraId="1D59704B" w14:textId="77777777" w:rsidR="00F81D98" w:rsidRPr="006068A2"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100</w:t>
            </w:r>
          </w:p>
        </w:tc>
      </w:tr>
    </w:tbl>
    <w:p w14:paraId="25019842" w14:textId="48B839EC" w:rsidR="00F81D98" w:rsidRPr="00363099"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r w:rsidRPr="00363099">
        <w:rPr>
          <w:rFonts w:ascii="Arial" w:hAnsi="Arial" w:cs="Arial"/>
          <w:sz w:val="16"/>
          <w:szCs w:val="16"/>
        </w:rPr>
        <w:t>Fuente: Base de datos Bogotá Te Escucha - Dirección de Aseguramiento y Garantía del Derecho a la Salud-2026.- Sistema de información para el Monitoreo del Acceso-SIDMA</w:t>
      </w:r>
    </w:p>
    <w:p w14:paraId="493AE362" w14:textId="77777777" w:rsidR="00F81D98" w:rsidRPr="006068A2" w:rsidRDefault="00F81D98" w:rsidP="006068A2">
      <w:pPr>
        <w:spacing w:line="360" w:lineRule="auto"/>
        <w:jc w:val="both"/>
        <w:rPr>
          <w:rFonts w:ascii="Arial" w:hAnsi="Arial" w:cs="Arial"/>
          <w:b/>
          <w:bCs/>
          <w:sz w:val="22"/>
          <w:szCs w:val="22"/>
        </w:rPr>
      </w:pPr>
    </w:p>
    <w:p w14:paraId="7DE74506"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 xml:space="preserve">El análisis evidencia que las barreras de acceso reportadas por los usuarios de COOSALUD EPS durante 2025 se concentraron de manera predominante en la no oportunidad en la </w:t>
      </w:r>
      <w:r w:rsidRPr="002535FF">
        <w:rPr>
          <w:rFonts w:ascii="Arial" w:hAnsi="Arial" w:cs="Arial"/>
          <w:sz w:val="22"/>
          <w:szCs w:val="22"/>
        </w:rPr>
        <w:lastRenderedPageBreak/>
        <w:t>prestación de servicios, categoría que acumuló 194 casos y representó el 74% del total de PQRS analizadas. Este resultado muestra que la principal afectación para la población afiliada estuvo relacionada con demoras en el acceso efectivo a la atención, lo que sugiere dificultades relevantes en la asignación de citas, disponibilidad de agendas, remisión a servicios especializados y capacidad de respuesta de la red prestadora.</w:t>
      </w:r>
    </w:p>
    <w:p w14:paraId="2C4FFA9B" w14:textId="77777777" w:rsidR="002535FF" w:rsidRPr="002535FF" w:rsidRDefault="002535FF" w:rsidP="002535FF">
      <w:pPr>
        <w:spacing w:line="360" w:lineRule="auto"/>
        <w:jc w:val="both"/>
        <w:rPr>
          <w:rFonts w:ascii="Arial" w:hAnsi="Arial" w:cs="Arial"/>
          <w:sz w:val="22"/>
          <w:szCs w:val="22"/>
        </w:rPr>
      </w:pPr>
    </w:p>
    <w:p w14:paraId="134DD6DE"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En segundo lugar, se identificó la categoría de no suministro de medicamentos, con 45 casos, equivalente al 17% del total. La magnitud de este hallazgo confirma que, además de las dificultades asociadas a la oportunidad de la atención, persisten barreras importantes en la entrega completa y oportuna de tecnologías en salud, situación que puede afectar la adherencia a tratamientos, la continuidad de la atención y el control clínico de patologías, especialmente en usuarios con enfermedades crónicas o condiciones que requieren manejo farmacológico permanente.</w:t>
      </w:r>
    </w:p>
    <w:p w14:paraId="2C38ABDC" w14:textId="77777777" w:rsidR="002535FF" w:rsidRPr="002535FF" w:rsidRDefault="002535FF" w:rsidP="002535FF">
      <w:pPr>
        <w:spacing w:line="360" w:lineRule="auto"/>
        <w:jc w:val="both"/>
        <w:rPr>
          <w:rFonts w:ascii="Arial" w:hAnsi="Arial" w:cs="Arial"/>
          <w:sz w:val="22"/>
          <w:szCs w:val="22"/>
        </w:rPr>
      </w:pPr>
    </w:p>
    <w:p w14:paraId="1525ED04"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Por su parte, las barreras asociadas a dificultades de accesibilidad administrativa y a inconsistencias en los sistemas de información del aseguramiento representaron cada una el 3% de las manifestaciones, lo que indica que una proporción menor, pero relevante, de las inconformidades estuvo vinculada con trámites, validaciones, errores en registros o problemas administrativos que pueden obstaculizar el acceso a servicios ya autorizados o requeridos por los usuarios. Aunque estas categorías presentan menor frecuencia, su impacto puede ser significativo en términos de demoras, reprocesos y afectación de la experiencia de atención.</w:t>
      </w:r>
    </w:p>
    <w:p w14:paraId="6B0280FA" w14:textId="77777777" w:rsidR="002535FF" w:rsidRPr="002535FF" w:rsidRDefault="002535FF" w:rsidP="002535FF">
      <w:pPr>
        <w:spacing w:line="360" w:lineRule="auto"/>
        <w:jc w:val="both"/>
        <w:rPr>
          <w:rFonts w:ascii="Arial" w:hAnsi="Arial" w:cs="Arial"/>
          <w:sz w:val="22"/>
          <w:szCs w:val="22"/>
        </w:rPr>
      </w:pPr>
    </w:p>
    <w:p w14:paraId="5A1ADE7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Las demás categorías —estudios, informes y estadísticas, problemas de recursos económicos, negación de servicios, dificultad en alto costo e incumplimiento de portabilidad nacional— registraron una participación marginal dentro del total de casos. No obstante, su baja frecuencia no reduce su importancia, dado que corresponden a situaciones que pueden involucrar afectaciones individuales de alta sensibilidad y que, por su naturaleza, requieren seguimiento específico y abordaje oportuno por parte de la EPS y de la autoridad territorial.</w:t>
      </w:r>
    </w:p>
    <w:p w14:paraId="53D49D58" w14:textId="77777777" w:rsidR="002535FF" w:rsidRPr="002535FF" w:rsidRDefault="002535FF" w:rsidP="002535FF">
      <w:pPr>
        <w:spacing w:line="360" w:lineRule="auto"/>
        <w:jc w:val="both"/>
        <w:rPr>
          <w:rFonts w:ascii="Arial" w:hAnsi="Arial" w:cs="Arial"/>
          <w:sz w:val="22"/>
          <w:szCs w:val="22"/>
        </w:rPr>
      </w:pPr>
    </w:p>
    <w:p w14:paraId="1EA5225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 xml:space="preserve">En conjunto, los resultados muestran que las principales barreras de acceso en COOSALUD EPS durante 2025 estuvieron asociadas a problemas de oportunidad en la </w:t>
      </w:r>
      <w:r w:rsidRPr="002535FF">
        <w:rPr>
          <w:rFonts w:ascii="Arial" w:hAnsi="Arial" w:cs="Arial"/>
          <w:sz w:val="22"/>
          <w:szCs w:val="22"/>
        </w:rPr>
        <w:lastRenderedPageBreak/>
        <w:t>prestación y suministro de medicamentos, categorías que en conjunto concentraron el 91% de las manifestaciones analizadas. Este comportamiento sugiere que las dificultades de acceso no obedecen a eventos aislados, sino a problemas recurrentes en componentes esenciales de la operación del aseguramiento y de la articulación con la red de prestación de servicios de salud.</w:t>
      </w:r>
    </w:p>
    <w:p w14:paraId="4022661A" w14:textId="77777777" w:rsidR="002535FF" w:rsidRPr="002535FF" w:rsidRDefault="002535FF" w:rsidP="002535FF">
      <w:pPr>
        <w:spacing w:line="360" w:lineRule="auto"/>
        <w:jc w:val="both"/>
        <w:rPr>
          <w:rFonts w:ascii="Arial" w:hAnsi="Arial" w:cs="Arial"/>
          <w:sz w:val="22"/>
          <w:szCs w:val="22"/>
        </w:rPr>
      </w:pPr>
    </w:p>
    <w:p w14:paraId="3AF62720" w14:textId="02B3C3C6" w:rsidR="00F81D98" w:rsidRDefault="002535FF" w:rsidP="002535FF">
      <w:pPr>
        <w:spacing w:line="360" w:lineRule="auto"/>
        <w:jc w:val="both"/>
        <w:rPr>
          <w:rFonts w:ascii="Arial" w:hAnsi="Arial" w:cs="Arial"/>
          <w:sz w:val="22"/>
          <w:szCs w:val="22"/>
        </w:rPr>
      </w:pPr>
      <w:r w:rsidRPr="002535FF">
        <w:rPr>
          <w:rFonts w:ascii="Arial" w:hAnsi="Arial" w:cs="Arial"/>
          <w:sz w:val="22"/>
          <w:szCs w:val="22"/>
        </w:rPr>
        <w:t>Desde una perspectiva de seguimiento institucional, este patrón de barreras resulta especialmente relevante, en la medida en que afecta dimensiones críticas de la garantía del derecho a la salud, como la oportunidad, la continuidad y la integralidad de la atención. En consecuencia, estos hallazgos justifican la priorización de acciones de inspección, vigilancia y seguimiento sobre la gestión de agendas, la suficiencia de red, la oportunidad en autorizaciones, la dispensación de medicamentos y los procesos administrativos que puedan estar generando retrasos o interrupciones en la atención de la población afiliada.</w:t>
      </w:r>
    </w:p>
    <w:p w14:paraId="15181815" w14:textId="77777777" w:rsidR="002535FF" w:rsidRPr="006068A2" w:rsidRDefault="002535FF" w:rsidP="002535FF">
      <w:pPr>
        <w:spacing w:line="360" w:lineRule="auto"/>
        <w:jc w:val="both"/>
        <w:rPr>
          <w:rFonts w:ascii="Arial" w:hAnsi="Arial" w:cs="Arial"/>
          <w:b/>
          <w:bCs/>
          <w:sz w:val="22"/>
          <w:szCs w:val="22"/>
        </w:rPr>
      </w:pPr>
    </w:p>
    <w:p w14:paraId="60E019DE" w14:textId="4C0F7000" w:rsidR="00F81D98" w:rsidRPr="00A67640" w:rsidRDefault="00A67640" w:rsidP="00A67640">
      <w:pPr>
        <w:pStyle w:val="Ttulo2"/>
        <w:numPr>
          <w:ilvl w:val="1"/>
          <w:numId w:val="9"/>
        </w:numPr>
        <w:spacing w:before="0" w:line="360" w:lineRule="auto"/>
        <w:jc w:val="both"/>
        <w:rPr>
          <w:rFonts w:ascii="Arial" w:eastAsia="Arial" w:hAnsi="Arial" w:cs="Arial"/>
          <w:b/>
          <w:bCs/>
          <w:color w:val="auto"/>
          <w:sz w:val="22"/>
          <w:szCs w:val="22"/>
        </w:rPr>
      </w:pPr>
      <w:bookmarkStart w:id="34" w:name="_Toc229397842"/>
      <w:r w:rsidRPr="00A67640">
        <w:rPr>
          <w:rFonts w:ascii="Arial" w:eastAsia="Arial" w:hAnsi="Arial" w:cs="Arial"/>
          <w:b/>
          <w:bCs/>
          <w:color w:val="auto"/>
          <w:sz w:val="22"/>
          <w:szCs w:val="22"/>
        </w:rPr>
        <w:t xml:space="preserve">Pendientes de respuesta 2025 </w:t>
      </w:r>
      <w:r w:rsidR="00F81D98" w:rsidRPr="00A67640">
        <w:rPr>
          <w:rFonts w:ascii="Arial" w:eastAsia="Arial" w:hAnsi="Arial" w:cs="Arial"/>
          <w:b/>
          <w:bCs/>
          <w:color w:val="auto"/>
          <w:sz w:val="22"/>
          <w:szCs w:val="22"/>
        </w:rPr>
        <w:t>EPS COOSALUD</w:t>
      </w:r>
      <w:bookmarkEnd w:id="34"/>
    </w:p>
    <w:p w14:paraId="2D82CDD9" w14:textId="77777777" w:rsidR="00F81D98" w:rsidRDefault="00F81D98" w:rsidP="006068A2">
      <w:pPr>
        <w:spacing w:line="360" w:lineRule="auto"/>
        <w:jc w:val="both"/>
        <w:rPr>
          <w:rFonts w:ascii="Arial" w:hAnsi="Arial" w:cs="Arial"/>
          <w:sz w:val="22"/>
          <w:szCs w:val="22"/>
        </w:rPr>
      </w:pPr>
    </w:p>
    <w:p w14:paraId="7E4CEC6D" w14:textId="77777777"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t>En relación con el estado de respuesta de las PQRS trasladadas por competencia a COOSALUD EPS, se identificó que, del total de 263 manifestaciones gestionadas durante la vigencia 2025, una permanecía sin respuesta de fondo al momento del corte del análisis. Esta situación fue presentada en mesa de trabajo con la entidad, con el fin de requerir su gestión y cierre oportuno.</w:t>
      </w:r>
    </w:p>
    <w:p w14:paraId="681705CF" w14:textId="77777777" w:rsidR="00382BC1" w:rsidRPr="00382BC1" w:rsidRDefault="00382BC1" w:rsidP="00382BC1">
      <w:pPr>
        <w:spacing w:line="360" w:lineRule="auto"/>
        <w:jc w:val="both"/>
        <w:rPr>
          <w:rFonts w:ascii="Arial" w:hAnsi="Arial" w:cs="Arial"/>
          <w:sz w:val="22"/>
          <w:szCs w:val="22"/>
        </w:rPr>
      </w:pPr>
    </w:p>
    <w:p w14:paraId="5091D0FB" w14:textId="5646CBE9"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t>Si bien el número de casos pendientes es bajo en términos absolutos, su existencia evidencia la necesidad de mantener seguimiento sobre la trazabilidad y cierre efectivo de las manifestaciones ciudadanas, dado que toda falta de respuesta de fondo puede afectar la confianza del usuario en los mecanismos institucionales de atención y prolongar la persistencia de las barreras de acceso reportadas.</w:t>
      </w:r>
    </w:p>
    <w:p w14:paraId="675ED69B" w14:textId="77777777" w:rsidR="006203BE" w:rsidRPr="006068A2" w:rsidRDefault="006203BE" w:rsidP="006068A2">
      <w:pPr>
        <w:spacing w:line="360" w:lineRule="auto"/>
        <w:jc w:val="both"/>
        <w:rPr>
          <w:rFonts w:ascii="Arial" w:hAnsi="Arial" w:cs="Arial"/>
          <w:b/>
          <w:bCs/>
          <w:sz w:val="22"/>
          <w:szCs w:val="22"/>
        </w:rPr>
      </w:pPr>
    </w:p>
    <w:p w14:paraId="4ED91395" w14:textId="486C64BD" w:rsidR="000C4AE0" w:rsidRPr="006068A2" w:rsidRDefault="00B73EA3" w:rsidP="006068A2">
      <w:pPr>
        <w:pStyle w:val="Ttulo1"/>
        <w:numPr>
          <w:ilvl w:val="0"/>
          <w:numId w:val="9"/>
        </w:numPr>
        <w:spacing w:before="0" w:line="360" w:lineRule="auto"/>
        <w:jc w:val="both"/>
        <w:rPr>
          <w:rFonts w:ascii="Arial" w:hAnsi="Arial" w:cs="Arial"/>
          <w:b/>
          <w:bCs/>
          <w:color w:val="auto"/>
          <w:sz w:val="22"/>
          <w:szCs w:val="22"/>
          <w:lang w:val="es-ES"/>
        </w:rPr>
      </w:pPr>
      <w:bookmarkStart w:id="35" w:name="_Toc229397843"/>
      <w:r w:rsidRPr="006068A2">
        <w:rPr>
          <w:rFonts w:ascii="Arial" w:hAnsi="Arial" w:cs="Arial"/>
          <w:b/>
          <w:bCs/>
          <w:color w:val="auto"/>
          <w:sz w:val="22"/>
          <w:szCs w:val="22"/>
          <w:lang w:val="es-ES"/>
        </w:rPr>
        <w:t>RESULTADOS EN SALUD Y GESTIÓN DEL RIESGO</w:t>
      </w:r>
      <w:bookmarkEnd w:id="35"/>
    </w:p>
    <w:p w14:paraId="6F35F012" w14:textId="19DB6514" w:rsidR="382B01F5" w:rsidRPr="006068A2" w:rsidRDefault="382B01F5" w:rsidP="006068A2">
      <w:pPr>
        <w:spacing w:line="360" w:lineRule="auto"/>
        <w:jc w:val="both"/>
        <w:rPr>
          <w:rFonts w:ascii="Arial" w:hAnsi="Arial" w:cs="Arial"/>
          <w:sz w:val="22"/>
          <w:szCs w:val="22"/>
        </w:rPr>
      </w:pPr>
    </w:p>
    <w:p w14:paraId="0B4E9B0A" w14:textId="2121A737"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36" w:name="_Toc229397844"/>
      <w:bookmarkStart w:id="37" w:name="OLE_LINK10"/>
      <w:r w:rsidRPr="006068A2">
        <w:rPr>
          <w:rFonts w:ascii="Arial" w:hAnsi="Arial" w:cs="Arial"/>
          <w:b/>
          <w:bCs/>
          <w:color w:val="auto"/>
          <w:sz w:val="22"/>
          <w:szCs w:val="22"/>
        </w:rPr>
        <w:t>Mortalidad materna</w:t>
      </w:r>
      <w:bookmarkEnd w:id="36"/>
    </w:p>
    <w:bookmarkEnd w:id="37"/>
    <w:p w14:paraId="76612470" w14:textId="2E580799" w:rsidR="54F34D23" w:rsidRPr="006068A2" w:rsidRDefault="54F34D23" w:rsidP="006068A2">
      <w:pPr>
        <w:spacing w:line="360" w:lineRule="auto"/>
        <w:jc w:val="both"/>
        <w:rPr>
          <w:rFonts w:ascii="Arial" w:hAnsi="Arial" w:cs="Arial"/>
          <w:sz w:val="22"/>
          <w:szCs w:val="22"/>
        </w:rPr>
      </w:pPr>
    </w:p>
    <w:p w14:paraId="285F9471"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lastRenderedPageBreak/>
        <w:t xml:space="preserve">Según el reporte epidemiológico con corte a diciembre de 2025, la EAPB COOSALUD no presentó eventos de mortalidad materna. No obstante, en cumplimiento de la normatividad vigente y en ejercicio de las competencias asignadas a la Entidad Territorial, el equipo de Inspección, Vigilancia y Seguimiento de la Subdirección de Garantía del Aseguramiento realizó auditorías a la entidad durante la vigencia 2025, con el fin de verificar el cumplimiento de las obligaciones relacionadas con la gestión del riesgo en salud en el subcomponente materno perinatal. Estas acciones se desarrollaron conforme a los criterios y la metodología definidos en el Programa de Auditoría a las Entidades Administradoras de Planes de Beneficios (EAPB) / Empresas Promotoras de Salud (EPS) de los regímenes subsidiado, contributivo y exceptuado que operan en Bogotá D. C. </w:t>
      </w:r>
    </w:p>
    <w:p w14:paraId="4004012B" w14:textId="77777777" w:rsidR="00920531" w:rsidRPr="00920531" w:rsidRDefault="00920531" w:rsidP="00920531">
      <w:pPr>
        <w:spacing w:line="360" w:lineRule="auto"/>
        <w:jc w:val="both"/>
        <w:rPr>
          <w:rFonts w:ascii="Arial" w:hAnsi="Arial" w:cs="Arial"/>
          <w:sz w:val="22"/>
          <w:szCs w:val="22"/>
        </w:rPr>
      </w:pPr>
    </w:p>
    <w:p w14:paraId="75CE7A9B"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En primer lugar, se llevó a cabo auditoría IVS entre el 14 y el 18 de julio de 2025, en modalidad presencial, al componente de Gestión del Riesgo en Salud, subcomponente materno perinatal, correspondiente al segundo semestre de 2024 y al primer semestre de 2025. De acuerdo con el acta suscrita por las partes y obrante en el archivo de la Entidad Territorial, COOSALUD no presentó la documentación solicitada por el ente territorial ni dispuso de un referente para sustentarla, razón por la cual no fue posible desarrollar la auditoría de este subcomponente. Como resultado, se generó el hallazgo según el cual la entidad no demostró los soportes que garantizaran las intervenciones individuales de la Ruta Integral de Atención Materno Perinatal (RIAMP). </w:t>
      </w:r>
    </w:p>
    <w:p w14:paraId="43678E47" w14:textId="77777777" w:rsidR="00920531" w:rsidRPr="00920531" w:rsidRDefault="00920531" w:rsidP="00920531">
      <w:pPr>
        <w:spacing w:line="360" w:lineRule="auto"/>
        <w:jc w:val="both"/>
        <w:rPr>
          <w:rFonts w:ascii="Arial" w:hAnsi="Arial" w:cs="Arial"/>
          <w:sz w:val="22"/>
          <w:szCs w:val="22"/>
        </w:rPr>
      </w:pPr>
    </w:p>
    <w:p w14:paraId="0D42780F"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En segundo lugar, se desarrolló auditoría GAUDI del 8 al 12 de septiembre de 2025, correspondiente al primer semestre de 2025, en el marco de las Circulares 001 de 2020 y 046-5 de 2022 de la Superintendencia Nacional de Salud y de la Guía de Inspección y Vigilancia del Aseguramiento y Prestación de las Entidades Territoriales – GAUDI V5. En esta auditoría se evaluó el estándar correspondiente a la Ruta Integral de Atención Materno Perinatal, específicamente los criterios relacionados con gestación, atención del parto y puerperio, y atención para el cuidado y seguimiento del recién nacido. Entre los aspectos revisados se incluyeron exámenes de laboratorio en el control prenatal, formulación y entrega de micronutrientes, clasificación del riesgo gestacional y de preeclampsia, esquema de vacunación y definición del plan de parto.</w:t>
      </w:r>
    </w:p>
    <w:p w14:paraId="0312C299" w14:textId="77777777" w:rsidR="00920531" w:rsidRPr="00920531" w:rsidRDefault="00920531" w:rsidP="00920531">
      <w:pPr>
        <w:spacing w:line="360" w:lineRule="auto"/>
        <w:jc w:val="both"/>
        <w:rPr>
          <w:rFonts w:ascii="Arial" w:hAnsi="Arial" w:cs="Arial"/>
          <w:sz w:val="22"/>
          <w:szCs w:val="22"/>
        </w:rPr>
      </w:pPr>
    </w:p>
    <w:p w14:paraId="4A0492B8"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lastRenderedPageBreak/>
        <w:t xml:space="preserve">Durante la verificación, se confrontó la cohorte de gestantes reportada por la Secretaría Distrital de Salud con la cohorte presentada por COOSALUD, identificándose inconsistencias que afectaban la exactitud y coherencia entre ambas fuentes. En particular, la cohorte entregada por la EPS no contenía variables fundamentales para el seguimiento, tales como fecha de ingreso al control prenatal, edad gestacional al ingreso, fecha probable de parto ni variables relacionadas con intervenciones individuales durante la gestación, lo que impidió su validación. Adicionalmente, no se evidenció indicador de proporción de gestantes ni seguimiento al mismo. </w:t>
      </w:r>
    </w:p>
    <w:p w14:paraId="228DEC4C" w14:textId="77777777" w:rsidR="00920531" w:rsidRPr="00920531" w:rsidRDefault="00920531" w:rsidP="00920531">
      <w:pPr>
        <w:spacing w:line="360" w:lineRule="auto"/>
        <w:jc w:val="both"/>
        <w:rPr>
          <w:rFonts w:ascii="Arial" w:hAnsi="Arial" w:cs="Arial"/>
          <w:sz w:val="22"/>
          <w:szCs w:val="22"/>
        </w:rPr>
      </w:pPr>
    </w:p>
    <w:p w14:paraId="2C7D6A52"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De manera similar, en la revisión de la base de recién nacidos reportada por la Secretaría Distrital de Salud para el periodo enero-junio de 2025, se solicitó a la EPS la proporción de nacidos vivos y la base nominal correspondiente, con el fin de contrastar la información con la fuente oficial. Sin embargo, la entidad no reportó la información requerida, lo que impidió evaluar con suficiencia la exactitud y coherencia de los criterios auditados. Asimismo, al revisar las plantillas asociadas a los criterios evaluados, se evidenciaron inconsistencias entre la información contenida en las cohortes y lo registrado en dichos formatos, incluyendo diferencias en el número total de nacidos vivos. </w:t>
      </w:r>
    </w:p>
    <w:p w14:paraId="713ACC38" w14:textId="77777777" w:rsidR="00920531" w:rsidRPr="00920531" w:rsidRDefault="00920531" w:rsidP="00920531">
      <w:pPr>
        <w:spacing w:line="360" w:lineRule="auto"/>
        <w:jc w:val="both"/>
        <w:rPr>
          <w:rFonts w:ascii="Arial" w:hAnsi="Arial" w:cs="Arial"/>
          <w:sz w:val="22"/>
          <w:szCs w:val="22"/>
        </w:rPr>
      </w:pPr>
    </w:p>
    <w:p w14:paraId="62649E95"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En conjunto, los hallazgos derivados de las auditorías IVS y GAUDI evidencian debilidades relevantes en la capacidad de COOSALUD para demostrar, mediante soportes verificables y bases de datos consistentes, el cumplimiento de las intervenciones individuales de la Ruta Integral de Atención Materno Perinatal. Aunque no se reportaron eventos de mortalidad materna durante la vigencia analizada, la ausencia de documentación, las inconsistencias en las cohortes y la falta de información clave para el seguimiento limitan la trazabilidad del riesgo y afectan la capacidad de la entidad para sustentar la gestión efectiva del subcomponente materno perinatal. En este sentido, la situación observada constituye una señal de alerta para el seguimiento territorial, en la medida en que compromete la verificación del cumplimiento de las acciones de promoción, prevención, atención y seguimiento dirigidas a gestantes y recién nacidos.</w:t>
      </w:r>
    </w:p>
    <w:p w14:paraId="25002E8C" w14:textId="37479806" w:rsidR="00312A09" w:rsidRPr="006068A2" w:rsidRDefault="00312A09" w:rsidP="006068A2">
      <w:pPr>
        <w:spacing w:line="360" w:lineRule="auto"/>
        <w:jc w:val="both"/>
        <w:rPr>
          <w:rFonts w:ascii="Arial" w:hAnsi="Arial" w:cs="Arial"/>
          <w:sz w:val="22"/>
          <w:szCs w:val="22"/>
        </w:rPr>
      </w:pPr>
    </w:p>
    <w:p w14:paraId="35A25EAB" w14:textId="0198FD94" w:rsidR="000F7BB0" w:rsidRPr="006068A2" w:rsidRDefault="000E37D2" w:rsidP="006068A2">
      <w:pPr>
        <w:pStyle w:val="Ttulo2"/>
        <w:numPr>
          <w:ilvl w:val="1"/>
          <w:numId w:val="9"/>
        </w:numPr>
        <w:spacing w:before="0" w:line="360" w:lineRule="auto"/>
        <w:jc w:val="both"/>
        <w:rPr>
          <w:rFonts w:ascii="Arial" w:hAnsi="Arial" w:cs="Arial"/>
          <w:b/>
          <w:bCs/>
          <w:color w:val="000000" w:themeColor="text1"/>
          <w:kern w:val="2"/>
          <w:sz w:val="22"/>
          <w:szCs w:val="22"/>
          <w:lang w:val="es-ES_tradnl" w:eastAsia="en-US"/>
          <w14:ligatures w14:val="standardContextual"/>
        </w:rPr>
      </w:pPr>
      <w:bookmarkStart w:id="38" w:name="_Toc229397845"/>
      <w:r w:rsidRPr="006068A2">
        <w:rPr>
          <w:rFonts w:ascii="Arial" w:hAnsi="Arial" w:cs="Arial"/>
          <w:b/>
          <w:bCs/>
          <w:color w:val="000000" w:themeColor="text1"/>
          <w:sz w:val="22"/>
          <w:szCs w:val="22"/>
        </w:rPr>
        <w:t>Mortalidad Infantil</w:t>
      </w:r>
      <w:bookmarkEnd w:id="38"/>
      <w:r w:rsidRPr="006068A2">
        <w:rPr>
          <w:rFonts w:ascii="Arial" w:hAnsi="Arial" w:cs="Arial"/>
          <w:b/>
          <w:bCs/>
          <w:color w:val="000000" w:themeColor="text1"/>
          <w:sz w:val="22"/>
          <w:szCs w:val="22"/>
        </w:rPr>
        <w:t> </w:t>
      </w:r>
    </w:p>
    <w:p w14:paraId="2F90BD6B" w14:textId="77777777" w:rsidR="000E37D2" w:rsidRPr="006068A2" w:rsidRDefault="000E37D2" w:rsidP="006068A2">
      <w:pPr>
        <w:spacing w:line="360" w:lineRule="auto"/>
        <w:jc w:val="both"/>
        <w:rPr>
          <w:rFonts w:ascii="Arial" w:hAnsi="Arial" w:cs="Arial"/>
          <w:sz w:val="22"/>
          <w:szCs w:val="22"/>
        </w:rPr>
      </w:pPr>
    </w:p>
    <w:p w14:paraId="1FFB606A"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lastRenderedPageBreak/>
        <w:t>Con base en la información preliminar disponible para el periodo enero–diciembre de 2025, en la población atribuida a COOSALUD EPS en Bogotá D. C. se registraron 4 casos de mortalidad infantil. Tomando como referencia los 56.541 nacimientos considerados en la base analizada, la tasa observada corresponde a 0,07 por 1.000 nacidos vivos, lo que indica una baja magnitud del evento en términos absolutos. No obstante, dado el reducido número de casos, la interpretación del indicador debe realizarse con cautela, ya que pequeñas variaciones en la frecuencia del evento pueden producir cambios importantes en las tasas, especialmente cuando se desagregan por territorio.</w:t>
      </w:r>
    </w:p>
    <w:p w14:paraId="09AE8C9E"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p>
    <w:p w14:paraId="0624540F" w14:textId="08552F2B" w:rsidR="008F2446"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t>Desde la perspectiva territorial, los casos se concentraron en las localidades de Bosa, con 2 casos y una tasa de 0,35 por 1.000 nacidos vivos; Usme, con 1 caso y una tasa de 0,33; y Ciudad Bolívar, con 1 caso y una tasa de 0,17. En las demás localidades no se reportaron eventos durante el periodo analizado, aun cuando algunas registraron un volumen importante de nacimientos, como Suba, Kennedy y Engativá. Esta distribución sugiere la necesidad de fortalecer el seguimiento a la cohorte materno-perinatal y profundizar el análisis territorial en localidades con mayores condiciones de vulnerabilidad social, con el fin de identificar factores de riesgo, brechas en la atención y oportunidades de mejora en la atención materna y neonatal.</w:t>
      </w:r>
    </w:p>
    <w:p w14:paraId="457D06C2" w14:textId="77777777" w:rsidR="0019510E" w:rsidRPr="006068A2" w:rsidRDefault="0019510E" w:rsidP="00C92643">
      <w:pPr>
        <w:pStyle w:val="Prrafodelista"/>
        <w:spacing w:line="360" w:lineRule="auto"/>
        <w:jc w:val="both"/>
        <w:rPr>
          <w:rFonts w:ascii="Arial" w:hAnsi="Arial" w:cs="Arial"/>
          <w:bCs/>
          <w:color w:val="000000" w:themeColor="text1"/>
          <w:sz w:val="22"/>
          <w:szCs w:val="22"/>
          <w:lang w:val="es-MX"/>
        </w:rPr>
      </w:pPr>
    </w:p>
    <w:p w14:paraId="76736685" w14:textId="502A94A4" w:rsidR="008F2446" w:rsidRPr="006068A2" w:rsidRDefault="00FA5AF7" w:rsidP="00C92643">
      <w:pPr>
        <w:pStyle w:val="Descripcin"/>
        <w:spacing w:after="0" w:line="360" w:lineRule="auto"/>
        <w:jc w:val="both"/>
        <w:rPr>
          <w:rFonts w:ascii="Arial" w:hAnsi="Arial" w:cs="Arial"/>
          <w:bCs/>
          <w:i w:val="0"/>
          <w:iCs w:val="0"/>
          <w:color w:val="000000" w:themeColor="text1"/>
          <w:sz w:val="22"/>
          <w:szCs w:val="22"/>
          <w:lang w:val="es-MX"/>
        </w:rPr>
      </w:pPr>
      <w:bookmarkStart w:id="39" w:name="_Toc229395868"/>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11</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Casos y tasas de mortalidad infantil en la EAPB Coosalud, Bogotá D.C, periodo enero – diciembre 2025 preliminar.</w:t>
      </w:r>
      <w:bookmarkEnd w:id="39"/>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3109"/>
        <w:gridCol w:w="1676"/>
        <w:gridCol w:w="1949"/>
        <w:gridCol w:w="1676"/>
      </w:tblGrid>
      <w:tr w:rsidR="008F2446" w:rsidRPr="006068A2" w14:paraId="06F05F13" w14:textId="77777777" w:rsidTr="009A3D3F">
        <w:trPr>
          <w:trHeight w:val="293"/>
          <w:tblHeader/>
          <w:jc w:val="center"/>
        </w:trPr>
        <w:tc>
          <w:tcPr>
            <w:tcW w:w="3109" w:type="dxa"/>
            <w:shd w:val="clear" w:color="auto" w:fill="FFFFFF" w:themeFill="background1"/>
            <w:noWrap/>
            <w:vAlign w:val="center"/>
            <w:hideMark/>
          </w:tcPr>
          <w:p w14:paraId="4430EBCF" w14:textId="77777777" w:rsidR="008F2446" w:rsidRPr="006068A2" w:rsidRDefault="008F2446" w:rsidP="00507B91">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LOCALIDAD</w:t>
            </w:r>
          </w:p>
        </w:tc>
        <w:tc>
          <w:tcPr>
            <w:tcW w:w="1676" w:type="dxa"/>
            <w:shd w:val="clear" w:color="auto" w:fill="FFFFFF" w:themeFill="background1"/>
            <w:noWrap/>
            <w:vAlign w:val="center"/>
            <w:hideMark/>
          </w:tcPr>
          <w:p w14:paraId="23D348D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1949" w:type="dxa"/>
            <w:shd w:val="clear" w:color="auto" w:fill="FFFFFF" w:themeFill="background1"/>
            <w:noWrap/>
            <w:vAlign w:val="center"/>
            <w:hideMark/>
          </w:tcPr>
          <w:p w14:paraId="7B9DC4AE" w14:textId="7C7615C5"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NACIMIENTOS</w:t>
            </w:r>
            <w:r w:rsidR="00C807E0">
              <w:rPr>
                <w:rStyle w:val="Refdenotaalpie"/>
                <w:rFonts w:ascii="Arial" w:hAnsi="Arial" w:cs="Arial"/>
                <w:b/>
                <w:bCs/>
                <w:color w:val="000000"/>
                <w:sz w:val="22"/>
                <w:szCs w:val="22"/>
                <w:lang w:eastAsia="es-CO"/>
              </w:rPr>
              <w:footnoteReference w:id="8"/>
            </w:r>
          </w:p>
        </w:tc>
        <w:tc>
          <w:tcPr>
            <w:tcW w:w="1676" w:type="dxa"/>
            <w:shd w:val="clear" w:color="auto" w:fill="FFFFFF" w:themeFill="background1"/>
            <w:noWrap/>
            <w:vAlign w:val="center"/>
            <w:hideMark/>
          </w:tcPr>
          <w:p w14:paraId="6E8F34FA"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TASA </w:t>
            </w:r>
          </w:p>
        </w:tc>
      </w:tr>
      <w:tr w:rsidR="008F2446" w:rsidRPr="006068A2" w14:paraId="7CFF95DF" w14:textId="77777777" w:rsidTr="009A3D3F">
        <w:trPr>
          <w:trHeight w:val="293"/>
          <w:jc w:val="center"/>
        </w:trPr>
        <w:tc>
          <w:tcPr>
            <w:tcW w:w="3109" w:type="dxa"/>
            <w:shd w:val="clear" w:color="auto" w:fill="FFFFFF" w:themeFill="background1"/>
            <w:noWrap/>
            <w:vAlign w:val="center"/>
            <w:hideMark/>
          </w:tcPr>
          <w:p w14:paraId="4E7BFF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1-USAQUEN</w:t>
            </w:r>
          </w:p>
        </w:tc>
        <w:tc>
          <w:tcPr>
            <w:tcW w:w="1676" w:type="dxa"/>
            <w:shd w:val="clear" w:color="auto" w:fill="FFFFFF" w:themeFill="background1"/>
            <w:noWrap/>
            <w:vAlign w:val="center"/>
            <w:hideMark/>
          </w:tcPr>
          <w:p w14:paraId="0616A88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E4D078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3842</w:t>
            </w:r>
          </w:p>
        </w:tc>
        <w:tc>
          <w:tcPr>
            <w:tcW w:w="1676" w:type="dxa"/>
            <w:shd w:val="clear" w:color="auto" w:fill="FFFFFF" w:themeFill="background1"/>
            <w:noWrap/>
            <w:vAlign w:val="center"/>
            <w:hideMark/>
          </w:tcPr>
          <w:p w14:paraId="5C27C6B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8264F00" w14:textId="77777777" w:rsidTr="009A3D3F">
        <w:trPr>
          <w:trHeight w:val="293"/>
          <w:jc w:val="center"/>
        </w:trPr>
        <w:tc>
          <w:tcPr>
            <w:tcW w:w="3109" w:type="dxa"/>
            <w:shd w:val="clear" w:color="auto" w:fill="FFFFFF" w:themeFill="background1"/>
            <w:noWrap/>
            <w:vAlign w:val="center"/>
            <w:hideMark/>
          </w:tcPr>
          <w:p w14:paraId="742597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2-CHAPINERO</w:t>
            </w:r>
          </w:p>
        </w:tc>
        <w:tc>
          <w:tcPr>
            <w:tcW w:w="1676" w:type="dxa"/>
            <w:shd w:val="clear" w:color="auto" w:fill="FFFFFF" w:themeFill="background1"/>
            <w:noWrap/>
            <w:vAlign w:val="center"/>
            <w:hideMark/>
          </w:tcPr>
          <w:p w14:paraId="6121B8E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5BF394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1164</w:t>
            </w:r>
          </w:p>
        </w:tc>
        <w:tc>
          <w:tcPr>
            <w:tcW w:w="1676" w:type="dxa"/>
            <w:shd w:val="clear" w:color="auto" w:fill="FFFFFF" w:themeFill="background1"/>
            <w:noWrap/>
            <w:vAlign w:val="center"/>
            <w:hideMark/>
          </w:tcPr>
          <w:p w14:paraId="74053D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F83A8A1" w14:textId="77777777" w:rsidTr="009A3D3F">
        <w:trPr>
          <w:trHeight w:val="293"/>
          <w:jc w:val="center"/>
        </w:trPr>
        <w:tc>
          <w:tcPr>
            <w:tcW w:w="3109" w:type="dxa"/>
            <w:shd w:val="clear" w:color="auto" w:fill="FFFFFF" w:themeFill="background1"/>
            <w:noWrap/>
            <w:vAlign w:val="center"/>
            <w:hideMark/>
          </w:tcPr>
          <w:p w14:paraId="40B15DA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3-SANTAFE</w:t>
            </w:r>
          </w:p>
        </w:tc>
        <w:tc>
          <w:tcPr>
            <w:tcW w:w="1676" w:type="dxa"/>
            <w:shd w:val="clear" w:color="auto" w:fill="FFFFFF" w:themeFill="background1"/>
            <w:noWrap/>
            <w:vAlign w:val="center"/>
            <w:hideMark/>
          </w:tcPr>
          <w:p w14:paraId="6F61F74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1C57459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978</w:t>
            </w:r>
          </w:p>
        </w:tc>
        <w:tc>
          <w:tcPr>
            <w:tcW w:w="1676" w:type="dxa"/>
            <w:shd w:val="clear" w:color="auto" w:fill="FFFFFF" w:themeFill="background1"/>
            <w:noWrap/>
            <w:vAlign w:val="center"/>
            <w:hideMark/>
          </w:tcPr>
          <w:p w14:paraId="5B1494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A184E4D" w14:textId="77777777" w:rsidTr="009A3D3F">
        <w:trPr>
          <w:trHeight w:val="293"/>
          <w:jc w:val="center"/>
        </w:trPr>
        <w:tc>
          <w:tcPr>
            <w:tcW w:w="3109" w:type="dxa"/>
            <w:shd w:val="clear" w:color="auto" w:fill="FFFFFF" w:themeFill="background1"/>
            <w:noWrap/>
            <w:vAlign w:val="center"/>
            <w:hideMark/>
          </w:tcPr>
          <w:p w14:paraId="38E8FEE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4-SAN CRISTOBAL</w:t>
            </w:r>
          </w:p>
        </w:tc>
        <w:tc>
          <w:tcPr>
            <w:tcW w:w="1676" w:type="dxa"/>
            <w:shd w:val="clear" w:color="auto" w:fill="FFFFFF" w:themeFill="background1"/>
            <w:noWrap/>
            <w:vAlign w:val="center"/>
            <w:hideMark/>
          </w:tcPr>
          <w:p w14:paraId="5D86E82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1B845DD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2876</w:t>
            </w:r>
          </w:p>
        </w:tc>
        <w:tc>
          <w:tcPr>
            <w:tcW w:w="1676" w:type="dxa"/>
            <w:shd w:val="clear" w:color="auto" w:fill="FFFFFF" w:themeFill="background1"/>
            <w:noWrap/>
            <w:vAlign w:val="center"/>
            <w:hideMark/>
          </w:tcPr>
          <w:p w14:paraId="40117DE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C6399D2" w14:textId="77777777" w:rsidTr="009A3D3F">
        <w:trPr>
          <w:trHeight w:val="293"/>
          <w:jc w:val="center"/>
        </w:trPr>
        <w:tc>
          <w:tcPr>
            <w:tcW w:w="3109" w:type="dxa"/>
            <w:shd w:val="clear" w:color="auto" w:fill="FFFFFF" w:themeFill="background1"/>
            <w:noWrap/>
            <w:vAlign w:val="center"/>
            <w:hideMark/>
          </w:tcPr>
          <w:p w14:paraId="1180C71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5-USME</w:t>
            </w:r>
          </w:p>
        </w:tc>
        <w:tc>
          <w:tcPr>
            <w:tcW w:w="1676" w:type="dxa"/>
            <w:shd w:val="clear" w:color="auto" w:fill="FFFFFF" w:themeFill="background1"/>
            <w:noWrap/>
            <w:vAlign w:val="center"/>
            <w:hideMark/>
          </w:tcPr>
          <w:p w14:paraId="1461FB59"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shd w:val="clear" w:color="auto" w:fill="FFFFFF" w:themeFill="background1"/>
            <w:noWrap/>
            <w:vAlign w:val="center"/>
            <w:hideMark/>
          </w:tcPr>
          <w:p w14:paraId="0DF437D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3010</w:t>
            </w:r>
          </w:p>
        </w:tc>
        <w:tc>
          <w:tcPr>
            <w:tcW w:w="1676" w:type="dxa"/>
            <w:shd w:val="clear" w:color="auto" w:fill="FFFFFF" w:themeFill="background1"/>
            <w:noWrap/>
            <w:vAlign w:val="center"/>
            <w:hideMark/>
          </w:tcPr>
          <w:p w14:paraId="6D0ED08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0,33</w:t>
            </w:r>
          </w:p>
        </w:tc>
      </w:tr>
      <w:tr w:rsidR="008F2446" w:rsidRPr="006068A2" w14:paraId="1E813F97" w14:textId="77777777" w:rsidTr="009A3D3F">
        <w:trPr>
          <w:trHeight w:val="293"/>
          <w:jc w:val="center"/>
        </w:trPr>
        <w:tc>
          <w:tcPr>
            <w:tcW w:w="3109" w:type="dxa"/>
            <w:shd w:val="clear" w:color="auto" w:fill="FFFFFF" w:themeFill="background1"/>
            <w:noWrap/>
            <w:vAlign w:val="center"/>
            <w:hideMark/>
          </w:tcPr>
          <w:p w14:paraId="4410FD0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6-TUNJUELITO</w:t>
            </w:r>
          </w:p>
        </w:tc>
        <w:tc>
          <w:tcPr>
            <w:tcW w:w="1676" w:type="dxa"/>
            <w:shd w:val="clear" w:color="auto" w:fill="FFFFFF" w:themeFill="background1"/>
            <w:noWrap/>
            <w:vAlign w:val="center"/>
            <w:hideMark/>
          </w:tcPr>
          <w:p w14:paraId="5AC708F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0B00AB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1336</w:t>
            </w:r>
          </w:p>
        </w:tc>
        <w:tc>
          <w:tcPr>
            <w:tcW w:w="1676" w:type="dxa"/>
            <w:shd w:val="clear" w:color="auto" w:fill="FFFFFF" w:themeFill="background1"/>
            <w:noWrap/>
            <w:vAlign w:val="center"/>
            <w:hideMark/>
          </w:tcPr>
          <w:p w14:paraId="1C986C5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2D7E869" w14:textId="77777777" w:rsidTr="009A3D3F">
        <w:trPr>
          <w:trHeight w:val="293"/>
          <w:jc w:val="center"/>
        </w:trPr>
        <w:tc>
          <w:tcPr>
            <w:tcW w:w="3109" w:type="dxa"/>
            <w:shd w:val="clear" w:color="auto" w:fill="FFFFFF" w:themeFill="background1"/>
            <w:noWrap/>
            <w:vAlign w:val="center"/>
            <w:hideMark/>
          </w:tcPr>
          <w:p w14:paraId="5F71529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7-BOSA</w:t>
            </w:r>
          </w:p>
        </w:tc>
        <w:tc>
          <w:tcPr>
            <w:tcW w:w="1676" w:type="dxa"/>
            <w:shd w:val="clear" w:color="auto" w:fill="FFFFFF" w:themeFill="background1"/>
            <w:noWrap/>
            <w:vAlign w:val="center"/>
            <w:hideMark/>
          </w:tcPr>
          <w:p w14:paraId="197ADA7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1949" w:type="dxa"/>
            <w:shd w:val="clear" w:color="auto" w:fill="FFFFFF" w:themeFill="background1"/>
            <w:noWrap/>
            <w:vAlign w:val="center"/>
            <w:hideMark/>
          </w:tcPr>
          <w:p w14:paraId="191C4FD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5739</w:t>
            </w:r>
          </w:p>
        </w:tc>
        <w:tc>
          <w:tcPr>
            <w:tcW w:w="1676" w:type="dxa"/>
            <w:shd w:val="clear" w:color="auto" w:fill="FFFFFF" w:themeFill="background1"/>
            <w:noWrap/>
            <w:vAlign w:val="center"/>
            <w:hideMark/>
          </w:tcPr>
          <w:p w14:paraId="6E2EC21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0,35</w:t>
            </w:r>
          </w:p>
        </w:tc>
      </w:tr>
      <w:tr w:rsidR="008F2446" w:rsidRPr="006068A2" w14:paraId="2E5F1940" w14:textId="77777777" w:rsidTr="009A3D3F">
        <w:trPr>
          <w:trHeight w:val="293"/>
          <w:jc w:val="center"/>
        </w:trPr>
        <w:tc>
          <w:tcPr>
            <w:tcW w:w="3109" w:type="dxa"/>
            <w:shd w:val="clear" w:color="auto" w:fill="FFFFFF" w:themeFill="background1"/>
            <w:noWrap/>
            <w:vAlign w:val="center"/>
            <w:hideMark/>
          </w:tcPr>
          <w:p w14:paraId="7FFBBCB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8-KENNEDY</w:t>
            </w:r>
          </w:p>
        </w:tc>
        <w:tc>
          <w:tcPr>
            <w:tcW w:w="1676" w:type="dxa"/>
            <w:shd w:val="clear" w:color="auto" w:fill="FFFFFF" w:themeFill="background1"/>
            <w:noWrap/>
            <w:vAlign w:val="center"/>
            <w:hideMark/>
          </w:tcPr>
          <w:p w14:paraId="778397A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0E5D3C6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7890</w:t>
            </w:r>
          </w:p>
        </w:tc>
        <w:tc>
          <w:tcPr>
            <w:tcW w:w="1676" w:type="dxa"/>
            <w:shd w:val="clear" w:color="auto" w:fill="FFFFFF" w:themeFill="background1"/>
            <w:noWrap/>
            <w:vAlign w:val="center"/>
            <w:hideMark/>
          </w:tcPr>
          <w:p w14:paraId="29E4175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AB8CFA4" w14:textId="77777777" w:rsidTr="009A3D3F">
        <w:trPr>
          <w:trHeight w:val="293"/>
          <w:jc w:val="center"/>
        </w:trPr>
        <w:tc>
          <w:tcPr>
            <w:tcW w:w="3109" w:type="dxa"/>
            <w:shd w:val="clear" w:color="auto" w:fill="FFFFFF" w:themeFill="background1"/>
            <w:noWrap/>
            <w:vAlign w:val="center"/>
            <w:hideMark/>
          </w:tcPr>
          <w:p w14:paraId="1158872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lastRenderedPageBreak/>
              <w:t>9-FONTIBON</w:t>
            </w:r>
          </w:p>
        </w:tc>
        <w:tc>
          <w:tcPr>
            <w:tcW w:w="1676" w:type="dxa"/>
            <w:shd w:val="clear" w:color="auto" w:fill="FFFFFF" w:themeFill="background1"/>
            <w:noWrap/>
            <w:vAlign w:val="center"/>
            <w:hideMark/>
          </w:tcPr>
          <w:p w14:paraId="0C45303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55579A6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2537</w:t>
            </w:r>
          </w:p>
        </w:tc>
        <w:tc>
          <w:tcPr>
            <w:tcW w:w="1676" w:type="dxa"/>
            <w:shd w:val="clear" w:color="auto" w:fill="FFFFFF" w:themeFill="background1"/>
            <w:noWrap/>
            <w:vAlign w:val="center"/>
            <w:hideMark/>
          </w:tcPr>
          <w:p w14:paraId="1CCB34E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F37A4A4" w14:textId="77777777" w:rsidTr="009A3D3F">
        <w:trPr>
          <w:trHeight w:val="293"/>
          <w:jc w:val="center"/>
        </w:trPr>
        <w:tc>
          <w:tcPr>
            <w:tcW w:w="3109" w:type="dxa"/>
            <w:shd w:val="clear" w:color="auto" w:fill="FFFFFF" w:themeFill="background1"/>
            <w:noWrap/>
            <w:vAlign w:val="center"/>
            <w:hideMark/>
          </w:tcPr>
          <w:p w14:paraId="5F02A4F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10-ENGATIVA</w:t>
            </w:r>
          </w:p>
        </w:tc>
        <w:tc>
          <w:tcPr>
            <w:tcW w:w="1676" w:type="dxa"/>
            <w:shd w:val="clear" w:color="auto" w:fill="FFFFFF" w:themeFill="background1"/>
            <w:noWrap/>
            <w:vAlign w:val="center"/>
            <w:hideMark/>
          </w:tcPr>
          <w:p w14:paraId="038052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CEFBB3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5160</w:t>
            </w:r>
          </w:p>
        </w:tc>
        <w:tc>
          <w:tcPr>
            <w:tcW w:w="1676" w:type="dxa"/>
            <w:shd w:val="clear" w:color="auto" w:fill="FFFFFF" w:themeFill="background1"/>
            <w:noWrap/>
            <w:vAlign w:val="center"/>
            <w:hideMark/>
          </w:tcPr>
          <w:p w14:paraId="43EE120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D4AEC91" w14:textId="77777777" w:rsidTr="009A3D3F">
        <w:trPr>
          <w:trHeight w:val="293"/>
          <w:jc w:val="center"/>
        </w:trPr>
        <w:tc>
          <w:tcPr>
            <w:tcW w:w="3109" w:type="dxa"/>
            <w:shd w:val="clear" w:color="auto" w:fill="FFFFFF" w:themeFill="background1"/>
            <w:noWrap/>
            <w:vAlign w:val="center"/>
            <w:hideMark/>
          </w:tcPr>
          <w:p w14:paraId="34B3DD3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11-SUBA</w:t>
            </w:r>
          </w:p>
        </w:tc>
        <w:tc>
          <w:tcPr>
            <w:tcW w:w="1676" w:type="dxa"/>
            <w:shd w:val="clear" w:color="auto" w:fill="FFFFFF" w:themeFill="background1"/>
            <w:noWrap/>
            <w:vAlign w:val="center"/>
            <w:hideMark/>
          </w:tcPr>
          <w:p w14:paraId="733AD60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3330DFB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8171</w:t>
            </w:r>
          </w:p>
        </w:tc>
        <w:tc>
          <w:tcPr>
            <w:tcW w:w="1676" w:type="dxa"/>
            <w:shd w:val="clear" w:color="auto" w:fill="FFFFFF" w:themeFill="background1"/>
            <w:noWrap/>
            <w:vAlign w:val="center"/>
            <w:hideMark/>
          </w:tcPr>
          <w:p w14:paraId="750288E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CB8438D" w14:textId="77777777" w:rsidTr="009A3D3F">
        <w:trPr>
          <w:trHeight w:val="293"/>
          <w:jc w:val="center"/>
        </w:trPr>
        <w:tc>
          <w:tcPr>
            <w:tcW w:w="3109" w:type="dxa"/>
            <w:shd w:val="clear" w:color="auto" w:fill="FFFFFF" w:themeFill="background1"/>
            <w:noWrap/>
            <w:vAlign w:val="center"/>
            <w:hideMark/>
          </w:tcPr>
          <w:p w14:paraId="3E62712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12-BARRIOS UNIDOS</w:t>
            </w:r>
          </w:p>
        </w:tc>
        <w:tc>
          <w:tcPr>
            <w:tcW w:w="1676" w:type="dxa"/>
            <w:shd w:val="clear" w:color="auto" w:fill="FFFFFF" w:themeFill="background1"/>
            <w:noWrap/>
            <w:vAlign w:val="center"/>
            <w:hideMark/>
          </w:tcPr>
          <w:p w14:paraId="619CF15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5CE270B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894</w:t>
            </w:r>
          </w:p>
        </w:tc>
        <w:tc>
          <w:tcPr>
            <w:tcW w:w="1676" w:type="dxa"/>
            <w:shd w:val="clear" w:color="auto" w:fill="FFFFFF" w:themeFill="background1"/>
            <w:noWrap/>
            <w:vAlign w:val="center"/>
            <w:hideMark/>
          </w:tcPr>
          <w:p w14:paraId="760AF07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B4F2A34" w14:textId="77777777" w:rsidTr="009A3D3F">
        <w:trPr>
          <w:trHeight w:val="293"/>
          <w:jc w:val="center"/>
        </w:trPr>
        <w:tc>
          <w:tcPr>
            <w:tcW w:w="3109" w:type="dxa"/>
            <w:shd w:val="clear" w:color="auto" w:fill="FFFFFF" w:themeFill="background1"/>
            <w:noWrap/>
            <w:vAlign w:val="center"/>
            <w:hideMark/>
          </w:tcPr>
          <w:p w14:paraId="640439C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13-TEUSAQUILLO</w:t>
            </w:r>
          </w:p>
        </w:tc>
        <w:tc>
          <w:tcPr>
            <w:tcW w:w="1676" w:type="dxa"/>
            <w:shd w:val="clear" w:color="auto" w:fill="FFFFFF" w:themeFill="background1"/>
            <w:noWrap/>
            <w:vAlign w:val="center"/>
            <w:hideMark/>
          </w:tcPr>
          <w:p w14:paraId="1129AB6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06A0C6D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781</w:t>
            </w:r>
          </w:p>
        </w:tc>
        <w:tc>
          <w:tcPr>
            <w:tcW w:w="1676" w:type="dxa"/>
            <w:shd w:val="clear" w:color="auto" w:fill="FFFFFF" w:themeFill="background1"/>
            <w:noWrap/>
            <w:vAlign w:val="center"/>
            <w:hideMark/>
          </w:tcPr>
          <w:p w14:paraId="60F9D43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5C0DBCEF" w14:textId="77777777" w:rsidTr="009A3D3F">
        <w:trPr>
          <w:trHeight w:val="293"/>
          <w:jc w:val="center"/>
        </w:trPr>
        <w:tc>
          <w:tcPr>
            <w:tcW w:w="3109" w:type="dxa"/>
            <w:shd w:val="clear" w:color="auto" w:fill="FFFFFF" w:themeFill="background1"/>
            <w:noWrap/>
            <w:vAlign w:val="center"/>
            <w:hideMark/>
          </w:tcPr>
          <w:p w14:paraId="571300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14-MARTIRES</w:t>
            </w:r>
          </w:p>
        </w:tc>
        <w:tc>
          <w:tcPr>
            <w:tcW w:w="1676" w:type="dxa"/>
            <w:shd w:val="clear" w:color="auto" w:fill="FFFFFF" w:themeFill="background1"/>
            <w:noWrap/>
            <w:vAlign w:val="center"/>
            <w:hideMark/>
          </w:tcPr>
          <w:p w14:paraId="0EF8D9E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7BCCBD5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872</w:t>
            </w:r>
          </w:p>
        </w:tc>
        <w:tc>
          <w:tcPr>
            <w:tcW w:w="1676" w:type="dxa"/>
            <w:shd w:val="clear" w:color="auto" w:fill="FFFFFF" w:themeFill="background1"/>
            <w:noWrap/>
            <w:vAlign w:val="center"/>
            <w:hideMark/>
          </w:tcPr>
          <w:p w14:paraId="7889DDC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071B12C" w14:textId="77777777" w:rsidTr="009A3D3F">
        <w:trPr>
          <w:trHeight w:val="293"/>
          <w:jc w:val="center"/>
        </w:trPr>
        <w:tc>
          <w:tcPr>
            <w:tcW w:w="3109" w:type="dxa"/>
            <w:shd w:val="clear" w:color="auto" w:fill="FFFFFF" w:themeFill="background1"/>
            <w:noWrap/>
            <w:vAlign w:val="center"/>
            <w:hideMark/>
          </w:tcPr>
          <w:p w14:paraId="16160C1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15-ANTONIO NARIÑO</w:t>
            </w:r>
          </w:p>
        </w:tc>
        <w:tc>
          <w:tcPr>
            <w:tcW w:w="1676" w:type="dxa"/>
            <w:shd w:val="clear" w:color="auto" w:fill="FFFFFF" w:themeFill="background1"/>
            <w:noWrap/>
            <w:vAlign w:val="center"/>
            <w:hideMark/>
          </w:tcPr>
          <w:p w14:paraId="66DAC47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71AF071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621</w:t>
            </w:r>
          </w:p>
        </w:tc>
        <w:tc>
          <w:tcPr>
            <w:tcW w:w="1676" w:type="dxa"/>
            <w:shd w:val="clear" w:color="auto" w:fill="FFFFFF" w:themeFill="background1"/>
            <w:noWrap/>
            <w:vAlign w:val="center"/>
            <w:hideMark/>
          </w:tcPr>
          <w:p w14:paraId="62AF76E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3AE29B8" w14:textId="77777777" w:rsidTr="009A3D3F">
        <w:trPr>
          <w:trHeight w:val="293"/>
          <w:jc w:val="center"/>
        </w:trPr>
        <w:tc>
          <w:tcPr>
            <w:tcW w:w="3109" w:type="dxa"/>
            <w:shd w:val="clear" w:color="auto" w:fill="FFFFFF" w:themeFill="background1"/>
            <w:noWrap/>
            <w:vAlign w:val="center"/>
            <w:hideMark/>
          </w:tcPr>
          <w:p w14:paraId="24A6A75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16-PUENTE ARANDA</w:t>
            </w:r>
          </w:p>
        </w:tc>
        <w:tc>
          <w:tcPr>
            <w:tcW w:w="1676" w:type="dxa"/>
            <w:shd w:val="clear" w:color="auto" w:fill="FFFFFF" w:themeFill="background1"/>
            <w:noWrap/>
            <w:vAlign w:val="center"/>
            <w:hideMark/>
          </w:tcPr>
          <w:p w14:paraId="286FBEC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1F7BB4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1618</w:t>
            </w:r>
          </w:p>
        </w:tc>
        <w:tc>
          <w:tcPr>
            <w:tcW w:w="1676" w:type="dxa"/>
            <w:shd w:val="clear" w:color="auto" w:fill="FFFFFF" w:themeFill="background1"/>
            <w:noWrap/>
            <w:vAlign w:val="center"/>
            <w:hideMark/>
          </w:tcPr>
          <w:p w14:paraId="77D7FA6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F841A0C" w14:textId="77777777" w:rsidTr="009A3D3F">
        <w:trPr>
          <w:trHeight w:val="293"/>
          <w:jc w:val="center"/>
        </w:trPr>
        <w:tc>
          <w:tcPr>
            <w:tcW w:w="3109" w:type="dxa"/>
            <w:shd w:val="clear" w:color="auto" w:fill="FFFFFF" w:themeFill="background1"/>
            <w:noWrap/>
            <w:vAlign w:val="center"/>
            <w:hideMark/>
          </w:tcPr>
          <w:p w14:paraId="3B834BB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17-CANDELARIA</w:t>
            </w:r>
          </w:p>
        </w:tc>
        <w:tc>
          <w:tcPr>
            <w:tcW w:w="1676" w:type="dxa"/>
            <w:shd w:val="clear" w:color="auto" w:fill="FFFFFF" w:themeFill="background1"/>
            <w:noWrap/>
            <w:vAlign w:val="center"/>
            <w:hideMark/>
          </w:tcPr>
          <w:p w14:paraId="36FB829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69CDCB05"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152</w:t>
            </w:r>
          </w:p>
        </w:tc>
        <w:tc>
          <w:tcPr>
            <w:tcW w:w="1676" w:type="dxa"/>
            <w:shd w:val="clear" w:color="auto" w:fill="FFFFFF" w:themeFill="background1"/>
            <w:noWrap/>
            <w:vAlign w:val="center"/>
            <w:hideMark/>
          </w:tcPr>
          <w:p w14:paraId="16F27BC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446AD97F" w14:textId="77777777" w:rsidTr="009A3D3F">
        <w:trPr>
          <w:trHeight w:val="293"/>
          <w:jc w:val="center"/>
        </w:trPr>
        <w:tc>
          <w:tcPr>
            <w:tcW w:w="3109" w:type="dxa"/>
            <w:shd w:val="clear" w:color="auto" w:fill="FFFFFF" w:themeFill="background1"/>
            <w:noWrap/>
            <w:vAlign w:val="center"/>
            <w:hideMark/>
          </w:tcPr>
          <w:p w14:paraId="39E82F8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18-RAFAEL URIBE</w:t>
            </w:r>
          </w:p>
        </w:tc>
        <w:tc>
          <w:tcPr>
            <w:tcW w:w="1676" w:type="dxa"/>
            <w:shd w:val="clear" w:color="auto" w:fill="FFFFFF" w:themeFill="background1"/>
            <w:noWrap/>
            <w:vAlign w:val="center"/>
            <w:hideMark/>
          </w:tcPr>
          <w:p w14:paraId="1B73262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B8A97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2915</w:t>
            </w:r>
          </w:p>
        </w:tc>
        <w:tc>
          <w:tcPr>
            <w:tcW w:w="1676" w:type="dxa"/>
            <w:shd w:val="clear" w:color="auto" w:fill="FFFFFF" w:themeFill="background1"/>
            <w:noWrap/>
            <w:vAlign w:val="center"/>
            <w:hideMark/>
          </w:tcPr>
          <w:p w14:paraId="7EE8CF6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F00A108" w14:textId="77777777" w:rsidTr="009A3D3F">
        <w:trPr>
          <w:trHeight w:val="293"/>
          <w:jc w:val="center"/>
        </w:trPr>
        <w:tc>
          <w:tcPr>
            <w:tcW w:w="3109" w:type="dxa"/>
            <w:shd w:val="clear" w:color="auto" w:fill="FFFFFF" w:themeFill="background1"/>
            <w:noWrap/>
            <w:vAlign w:val="center"/>
            <w:hideMark/>
          </w:tcPr>
          <w:p w14:paraId="5226C6D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19-CIUDAD BOLIVAR</w:t>
            </w:r>
          </w:p>
        </w:tc>
        <w:tc>
          <w:tcPr>
            <w:tcW w:w="1676" w:type="dxa"/>
            <w:shd w:val="clear" w:color="auto" w:fill="FFFFFF" w:themeFill="background1"/>
            <w:noWrap/>
            <w:vAlign w:val="center"/>
            <w:hideMark/>
          </w:tcPr>
          <w:p w14:paraId="34A7CB1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shd w:val="clear" w:color="auto" w:fill="FFFFFF" w:themeFill="background1"/>
            <w:noWrap/>
            <w:vAlign w:val="center"/>
            <w:hideMark/>
          </w:tcPr>
          <w:p w14:paraId="242679F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5969</w:t>
            </w:r>
          </w:p>
        </w:tc>
        <w:tc>
          <w:tcPr>
            <w:tcW w:w="1676" w:type="dxa"/>
            <w:shd w:val="clear" w:color="auto" w:fill="FFFFFF" w:themeFill="background1"/>
            <w:noWrap/>
            <w:vAlign w:val="center"/>
            <w:hideMark/>
          </w:tcPr>
          <w:p w14:paraId="7322897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0,17</w:t>
            </w:r>
          </w:p>
        </w:tc>
      </w:tr>
      <w:tr w:rsidR="008F2446" w:rsidRPr="006068A2" w14:paraId="428E48E7" w14:textId="77777777" w:rsidTr="009A3D3F">
        <w:trPr>
          <w:trHeight w:val="293"/>
          <w:jc w:val="center"/>
        </w:trPr>
        <w:tc>
          <w:tcPr>
            <w:tcW w:w="3109" w:type="dxa"/>
            <w:shd w:val="clear" w:color="auto" w:fill="FFFFFF" w:themeFill="background1"/>
            <w:noWrap/>
            <w:vAlign w:val="center"/>
            <w:hideMark/>
          </w:tcPr>
          <w:p w14:paraId="262E5AB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20-SUMAPAZ</w:t>
            </w:r>
          </w:p>
        </w:tc>
        <w:tc>
          <w:tcPr>
            <w:tcW w:w="1676" w:type="dxa"/>
            <w:shd w:val="clear" w:color="auto" w:fill="FFFFFF" w:themeFill="background1"/>
            <w:noWrap/>
            <w:vAlign w:val="center"/>
            <w:hideMark/>
          </w:tcPr>
          <w:p w14:paraId="5B5A074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7D5F38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w:t>
            </w:r>
          </w:p>
        </w:tc>
        <w:tc>
          <w:tcPr>
            <w:tcW w:w="1676" w:type="dxa"/>
            <w:shd w:val="clear" w:color="auto" w:fill="FFFFFF" w:themeFill="background1"/>
            <w:noWrap/>
            <w:vAlign w:val="center"/>
            <w:hideMark/>
          </w:tcPr>
          <w:p w14:paraId="55EB64F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EE46461" w14:textId="77777777" w:rsidTr="009A3D3F">
        <w:trPr>
          <w:trHeight w:val="293"/>
          <w:jc w:val="center"/>
        </w:trPr>
        <w:tc>
          <w:tcPr>
            <w:tcW w:w="3109" w:type="dxa"/>
            <w:shd w:val="clear" w:color="auto" w:fill="FFFFFF" w:themeFill="background1"/>
            <w:noWrap/>
            <w:vAlign w:val="center"/>
            <w:hideMark/>
          </w:tcPr>
          <w:p w14:paraId="678F9D9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SIN DATO DE LOCALIDAD</w:t>
            </w:r>
          </w:p>
        </w:tc>
        <w:tc>
          <w:tcPr>
            <w:tcW w:w="1676" w:type="dxa"/>
            <w:shd w:val="clear" w:color="auto" w:fill="FFFFFF" w:themeFill="background1"/>
            <w:noWrap/>
            <w:vAlign w:val="center"/>
            <w:hideMark/>
          </w:tcPr>
          <w:p w14:paraId="0B9D4AE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shd w:val="clear" w:color="auto" w:fill="FFFFFF" w:themeFill="background1"/>
            <w:noWrap/>
            <w:vAlign w:val="center"/>
            <w:hideMark/>
          </w:tcPr>
          <w:p w14:paraId="2C4F375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676" w:type="dxa"/>
            <w:shd w:val="clear" w:color="auto" w:fill="FFFFFF" w:themeFill="background1"/>
            <w:noWrap/>
            <w:vAlign w:val="center"/>
            <w:hideMark/>
          </w:tcPr>
          <w:p w14:paraId="760BD48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44C0B5A" w14:textId="77777777" w:rsidTr="009A3D3F">
        <w:trPr>
          <w:trHeight w:val="293"/>
          <w:jc w:val="center"/>
        </w:trPr>
        <w:tc>
          <w:tcPr>
            <w:tcW w:w="3109" w:type="dxa"/>
            <w:shd w:val="clear" w:color="auto" w:fill="FFFFFF" w:themeFill="background1"/>
            <w:noWrap/>
            <w:vAlign w:val="center"/>
            <w:hideMark/>
          </w:tcPr>
          <w:p w14:paraId="5AEBBF78"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TOTAL </w:t>
            </w:r>
          </w:p>
        </w:tc>
        <w:tc>
          <w:tcPr>
            <w:tcW w:w="1676" w:type="dxa"/>
            <w:shd w:val="clear" w:color="auto" w:fill="FFFFFF" w:themeFill="background1"/>
            <w:noWrap/>
            <w:vAlign w:val="center"/>
            <w:hideMark/>
          </w:tcPr>
          <w:p w14:paraId="211D3D75"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1949" w:type="dxa"/>
            <w:shd w:val="clear" w:color="auto" w:fill="FFFFFF" w:themeFill="background1"/>
            <w:noWrap/>
            <w:vAlign w:val="center"/>
            <w:hideMark/>
          </w:tcPr>
          <w:p w14:paraId="79CB635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56541</w:t>
            </w:r>
          </w:p>
        </w:tc>
        <w:tc>
          <w:tcPr>
            <w:tcW w:w="1676" w:type="dxa"/>
            <w:shd w:val="clear" w:color="auto" w:fill="FFFFFF" w:themeFill="background1"/>
            <w:noWrap/>
            <w:vAlign w:val="center"/>
            <w:hideMark/>
          </w:tcPr>
          <w:p w14:paraId="0AAE85B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0,07</w:t>
            </w:r>
          </w:p>
        </w:tc>
      </w:tr>
    </w:tbl>
    <w:p w14:paraId="545C680A" w14:textId="77777777" w:rsidR="008F2446" w:rsidRPr="00AE29FE" w:rsidRDefault="008F2446" w:rsidP="006068A2">
      <w:pPr>
        <w:spacing w:line="360" w:lineRule="auto"/>
        <w:jc w:val="both"/>
        <w:rPr>
          <w:rFonts w:ascii="Arial" w:hAnsi="Arial" w:cs="Arial"/>
          <w:color w:val="000000" w:themeColor="text1"/>
          <w:sz w:val="16"/>
          <w:szCs w:val="16"/>
          <w:lang w:val="es-MX"/>
        </w:rPr>
      </w:pPr>
      <w:r w:rsidRPr="00AE29FE">
        <w:rPr>
          <w:rFonts w:ascii="Arial" w:hAnsi="Arial" w:cs="Arial"/>
          <w:color w:val="000000" w:themeColor="text1"/>
          <w:sz w:val="16"/>
          <w:szCs w:val="16"/>
          <w:lang w:val="es-MX"/>
        </w:rPr>
        <w:t>Fuente 2025: Aplicativo RUAF-ND. Sistema de Estadísticas Vitales SDS -EEVV-PRELIMINARES ajustado 10-12-2025</w:t>
      </w:r>
    </w:p>
    <w:p w14:paraId="722F9E90" w14:textId="77777777" w:rsidR="000F2D29" w:rsidRDefault="000F2D29" w:rsidP="000F2D29">
      <w:pPr>
        <w:spacing w:line="360" w:lineRule="auto"/>
        <w:jc w:val="both"/>
        <w:rPr>
          <w:rFonts w:ascii="Arial" w:hAnsi="Arial" w:cs="Arial"/>
          <w:color w:val="000000" w:themeColor="text1"/>
          <w:sz w:val="22"/>
          <w:szCs w:val="22"/>
          <w:lang w:val="es-MX"/>
        </w:rPr>
      </w:pPr>
    </w:p>
    <w:p w14:paraId="06CBD1D5" w14:textId="3AC997EB" w:rsidR="000F2D29" w:rsidRPr="000F2D29" w:rsidRDefault="000F2D29" w:rsidP="000F2D29">
      <w:pPr>
        <w:spacing w:line="360" w:lineRule="auto"/>
        <w:jc w:val="both"/>
        <w:rPr>
          <w:rFonts w:ascii="Arial" w:hAnsi="Arial" w:cs="Arial"/>
          <w:color w:val="000000" w:themeColor="text1"/>
          <w:sz w:val="22"/>
          <w:szCs w:val="22"/>
        </w:rPr>
      </w:pPr>
      <w:r w:rsidRPr="000F2D29">
        <w:rPr>
          <w:rFonts w:ascii="Arial" w:hAnsi="Arial" w:cs="Arial"/>
          <w:color w:val="000000" w:themeColor="text1"/>
          <w:sz w:val="22"/>
          <w:szCs w:val="22"/>
        </w:rPr>
        <w:t>En cuanto a las causas básicas de mortalidad infantil, el análisis evidencia que la totalidad de los casos se concentró en condiciones originadas en el periodo neonatal y perinatal. La principal causa correspondió al grupo “Resto de ciertas afecciones originadas en el período perinatal”, con 2 casos, equivalentes al 50% del total. Adicionalmente, se registró 1 caso (25%) en el grupo “Feto o recién nacido afectados por complicaciones obstétricas y traumatismo del nacimiento” y 1 caso (25%) por sepsis bacteriana del recién nacido.</w:t>
      </w:r>
    </w:p>
    <w:p w14:paraId="2E39DA3D" w14:textId="77777777" w:rsidR="00C807E0" w:rsidRDefault="00C807E0" w:rsidP="000F2D29">
      <w:pPr>
        <w:spacing w:line="360" w:lineRule="auto"/>
        <w:jc w:val="both"/>
        <w:rPr>
          <w:rFonts w:ascii="Arial" w:hAnsi="Arial" w:cs="Arial"/>
          <w:color w:val="000000" w:themeColor="text1"/>
          <w:sz w:val="22"/>
          <w:szCs w:val="22"/>
          <w:lang w:val="es-MX"/>
        </w:rPr>
      </w:pPr>
    </w:p>
    <w:p w14:paraId="4B8918C6" w14:textId="1611ECCB" w:rsidR="008F2446" w:rsidRDefault="00FA5AF7" w:rsidP="00535C8F">
      <w:pPr>
        <w:pStyle w:val="Descripcin"/>
        <w:spacing w:after="0" w:line="360" w:lineRule="auto"/>
        <w:jc w:val="both"/>
        <w:rPr>
          <w:rFonts w:ascii="Arial" w:hAnsi="Arial" w:cs="Arial"/>
          <w:bCs/>
          <w:i w:val="0"/>
          <w:iCs w:val="0"/>
          <w:color w:val="000000" w:themeColor="text1"/>
          <w:sz w:val="22"/>
          <w:szCs w:val="22"/>
          <w:lang w:val="es-MX"/>
        </w:rPr>
      </w:pPr>
      <w:bookmarkStart w:id="40" w:name="_Toc229395869"/>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12</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Proporción de causas básicas de mortalidad infantil en la EAPB Coosalud, Bogotá D.C, periodo enero – diciembre 2025 preliminar.</w:t>
      </w:r>
      <w:bookmarkEnd w:id="40"/>
    </w:p>
    <w:p w14:paraId="6E2E4D77" w14:textId="77777777" w:rsidR="00A11FCC" w:rsidRPr="00A11FCC" w:rsidRDefault="00A11FCC" w:rsidP="00A11FCC">
      <w:pPr>
        <w:rPr>
          <w:lang w:val="es-MX"/>
        </w:rPr>
      </w:pP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326"/>
        <w:gridCol w:w="999"/>
        <w:gridCol w:w="998"/>
      </w:tblGrid>
      <w:tr w:rsidR="008F2446" w:rsidRPr="006068A2" w14:paraId="26964B8C" w14:textId="77777777" w:rsidTr="009A3D3F">
        <w:trPr>
          <w:trHeight w:val="302"/>
          <w:jc w:val="center"/>
        </w:trPr>
        <w:tc>
          <w:tcPr>
            <w:tcW w:w="7326" w:type="dxa"/>
            <w:shd w:val="clear" w:color="auto" w:fill="FFFFFF" w:themeFill="background1"/>
            <w:noWrap/>
            <w:vAlign w:val="bottom"/>
            <w:hideMark/>
          </w:tcPr>
          <w:p w14:paraId="658850A6" w14:textId="3329F301" w:rsidR="008F2446" w:rsidRPr="006068A2" w:rsidRDefault="008F2446" w:rsidP="004F4FC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Causas agrupadas 6/67 de mortalidad</w:t>
            </w:r>
          </w:p>
        </w:tc>
        <w:tc>
          <w:tcPr>
            <w:tcW w:w="999" w:type="dxa"/>
            <w:shd w:val="clear" w:color="auto" w:fill="FFFFFF" w:themeFill="background1"/>
            <w:noWrap/>
            <w:vAlign w:val="bottom"/>
            <w:hideMark/>
          </w:tcPr>
          <w:p w14:paraId="398ADFA6"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998" w:type="dxa"/>
            <w:shd w:val="clear" w:color="auto" w:fill="FFFFFF" w:themeFill="background1"/>
            <w:noWrap/>
            <w:vAlign w:val="bottom"/>
            <w:hideMark/>
          </w:tcPr>
          <w:p w14:paraId="1FB2BA00"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w:t>
            </w:r>
          </w:p>
        </w:tc>
      </w:tr>
      <w:tr w:rsidR="008F2446" w:rsidRPr="006068A2" w14:paraId="0C2101EF" w14:textId="77777777" w:rsidTr="009A3D3F">
        <w:trPr>
          <w:trHeight w:val="302"/>
          <w:jc w:val="center"/>
        </w:trPr>
        <w:tc>
          <w:tcPr>
            <w:tcW w:w="7326" w:type="dxa"/>
            <w:shd w:val="clear" w:color="auto" w:fill="FFFFFF" w:themeFill="background1"/>
            <w:noWrap/>
            <w:vAlign w:val="bottom"/>
            <w:hideMark/>
          </w:tcPr>
          <w:p w14:paraId="6EDD008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 xml:space="preserve">4,06 resto de ciertas afecciones originadas en el período perinatal </w:t>
            </w:r>
          </w:p>
        </w:tc>
        <w:tc>
          <w:tcPr>
            <w:tcW w:w="999" w:type="dxa"/>
            <w:shd w:val="clear" w:color="auto" w:fill="FFFFFF" w:themeFill="background1"/>
            <w:noWrap/>
            <w:vAlign w:val="bottom"/>
            <w:hideMark/>
          </w:tcPr>
          <w:p w14:paraId="2F69ACC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998" w:type="dxa"/>
            <w:shd w:val="clear" w:color="auto" w:fill="FFFFFF" w:themeFill="background1"/>
            <w:noWrap/>
            <w:vAlign w:val="bottom"/>
            <w:hideMark/>
          </w:tcPr>
          <w:p w14:paraId="04174790"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50%</w:t>
            </w:r>
          </w:p>
        </w:tc>
      </w:tr>
      <w:tr w:rsidR="008F2446" w:rsidRPr="006068A2" w14:paraId="30C6A197" w14:textId="77777777" w:rsidTr="009A3D3F">
        <w:trPr>
          <w:trHeight w:val="302"/>
          <w:jc w:val="center"/>
        </w:trPr>
        <w:tc>
          <w:tcPr>
            <w:tcW w:w="7326" w:type="dxa"/>
            <w:shd w:val="clear" w:color="auto" w:fill="FFFFFF" w:themeFill="background1"/>
            <w:noWrap/>
            <w:vAlign w:val="bottom"/>
            <w:hideMark/>
          </w:tcPr>
          <w:p w14:paraId="6953DE2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4,02 feto o recién nacido afectados por complicaciones obstétricas y traumatismo del nacimiento</w:t>
            </w:r>
          </w:p>
        </w:tc>
        <w:tc>
          <w:tcPr>
            <w:tcW w:w="999" w:type="dxa"/>
            <w:shd w:val="clear" w:color="auto" w:fill="FFFFFF" w:themeFill="background1"/>
            <w:noWrap/>
            <w:vAlign w:val="bottom"/>
            <w:hideMark/>
          </w:tcPr>
          <w:p w14:paraId="517E5E13"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shd w:val="clear" w:color="auto" w:fill="FFFFFF" w:themeFill="background1"/>
            <w:noWrap/>
            <w:vAlign w:val="bottom"/>
            <w:hideMark/>
          </w:tcPr>
          <w:p w14:paraId="77EBEBEB"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11DEAD5C" w14:textId="77777777" w:rsidTr="009A3D3F">
        <w:trPr>
          <w:trHeight w:val="302"/>
          <w:jc w:val="center"/>
        </w:trPr>
        <w:tc>
          <w:tcPr>
            <w:tcW w:w="7326" w:type="dxa"/>
            <w:shd w:val="clear" w:color="auto" w:fill="FFFFFF" w:themeFill="background1"/>
            <w:noWrap/>
            <w:vAlign w:val="bottom"/>
            <w:hideMark/>
          </w:tcPr>
          <w:p w14:paraId="4F31E43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4,05 sepsis bacteriana del recién nacido</w:t>
            </w:r>
          </w:p>
        </w:tc>
        <w:tc>
          <w:tcPr>
            <w:tcW w:w="999" w:type="dxa"/>
            <w:shd w:val="clear" w:color="auto" w:fill="FFFFFF" w:themeFill="background1"/>
            <w:noWrap/>
            <w:vAlign w:val="bottom"/>
            <w:hideMark/>
          </w:tcPr>
          <w:p w14:paraId="480CDAF6"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shd w:val="clear" w:color="auto" w:fill="FFFFFF" w:themeFill="background1"/>
            <w:noWrap/>
            <w:vAlign w:val="bottom"/>
            <w:hideMark/>
          </w:tcPr>
          <w:p w14:paraId="3038E60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638DCD00" w14:textId="77777777" w:rsidTr="009A3D3F">
        <w:trPr>
          <w:trHeight w:val="302"/>
          <w:jc w:val="center"/>
        </w:trPr>
        <w:tc>
          <w:tcPr>
            <w:tcW w:w="7326" w:type="dxa"/>
            <w:shd w:val="clear" w:color="auto" w:fill="FFFFFF" w:themeFill="background1"/>
            <w:noWrap/>
            <w:vAlign w:val="bottom"/>
            <w:hideMark/>
          </w:tcPr>
          <w:p w14:paraId="26AD6915"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Total</w:t>
            </w:r>
          </w:p>
        </w:tc>
        <w:tc>
          <w:tcPr>
            <w:tcW w:w="999" w:type="dxa"/>
            <w:shd w:val="clear" w:color="auto" w:fill="FFFFFF" w:themeFill="background1"/>
            <w:noWrap/>
            <w:vAlign w:val="bottom"/>
            <w:hideMark/>
          </w:tcPr>
          <w:p w14:paraId="65A5091E"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998" w:type="dxa"/>
            <w:shd w:val="clear" w:color="auto" w:fill="FFFFFF" w:themeFill="background1"/>
            <w:noWrap/>
            <w:vAlign w:val="bottom"/>
            <w:hideMark/>
          </w:tcPr>
          <w:p w14:paraId="075BB079"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100%</w:t>
            </w:r>
          </w:p>
        </w:tc>
      </w:tr>
    </w:tbl>
    <w:p w14:paraId="51FE57EF" w14:textId="77777777" w:rsidR="008F2446" w:rsidRPr="007F6CA6" w:rsidRDefault="008F2446" w:rsidP="007F6CA6">
      <w:pPr>
        <w:spacing w:line="360" w:lineRule="auto"/>
        <w:jc w:val="both"/>
        <w:rPr>
          <w:rFonts w:ascii="Arial" w:hAnsi="Arial" w:cs="Arial"/>
          <w:color w:val="000000" w:themeColor="text1"/>
          <w:sz w:val="16"/>
          <w:szCs w:val="16"/>
          <w:lang w:val="es-MX"/>
        </w:rPr>
      </w:pPr>
      <w:r w:rsidRPr="007F6CA6">
        <w:rPr>
          <w:rFonts w:ascii="Arial" w:hAnsi="Arial" w:cs="Arial"/>
          <w:color w:val="000000" w:themeColor="text1"/>
          <w:sz w:val="16"/>
          <w:szCs w:val="16"/>
          <w:lang w:val="es-MX"/>
        </w:rPr>
        <w:lastRenderedPageBreak/>
        <w:t>Fuente 2025: Aplicativo RUAF-ND. Sistema de Estadísticas Vitales SDS -EEVV-PRELIMINARES ajustado 10-12-2025</w:t>
      </w:r>
    </w:p>
    <w:p w14:paraId="25804AFC"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7D0A4E2B" w14:textId="77777777" w:rsidR="007F6CA6" w:rsidRDefault="007F6CA6" w:rsidP="007F6CA6">
      <w:pPr>
        <w:spacing w:line="360" w:lineRule="auto"/>
        <w:jc w:val="both"/>
        <w:rPr>
          <w:rFonts w:ascii="Arial" w:hAnsi="Arial" w:cs="Arial"/>
          <w:sz w:val="22"/>
          <w:szCs w:val="22"/>
        </w:rPr>
      </w:pPr>
      <w:r w:rsidRPr="007F6CA6">
        <w:rPr>
          <w:rFonts w:ascii="Arial" w:hAnsi="Arial" w:cs="Arial"/>
          <w:sz w:val="22"/>
          <w:szCs w:val="22"/>
        </w:rPr>
        <w:t>La distribución de las causas básicas sugiere que los eventos observados estuvieron estrechamente vinculados con condiciones del embarazo, el parto, el puerperio inmediato y la atención neonatal temprana. En particular, el predominio de afecciones originadas en el periodo perinatal resalta la importancia de fortalecer la calidad de la atención materno-perinatal en toda la ruta, desde el control prenatal y la identificación oportuna de gestantes de alto riesgo hasta la atención segura del parto, el puerperio y el seguimiento del recién nacido.</w:t>
      </w:r>
    </w:p>
    <w:p w14:paraId="65475AB3" w14:textId="77777777" w:rsidR="00F9461B" w:rsidRPr="007F6CA6" w:rsidRDefault="00F9461B" w:rsidP="007F6CA6">
      <w:pPr>
        <w:spacing w:line="360" w:lineRule="auto"/>
        <w:jc w:val="both"/>
        <w:rPr>
          <w:rFonts w:ascii="Arial" w:hAnsi="Arial" w:cs="Arial"/>
          <w:sz w:val="22"/>
          <w:szCs w:val="22"/>
        </w:rPr>
      </w:pPr>
    </w:p>
    <w:p w14:paraId="0F65CE44" w14:textId="77777777" w:rsidR="007F6CA6" w:rsidRPr="00F9461B" w:rsidRDefault="007F6CA6" w:rsidP="007F6CA6">
      <w:pPr>
        <w:spacing w:line="360" w:lineRule="auto"/>
        <w:jc w:val="both"/>
        <w:rPr>
          <w:rFonts w:ascii="Arial" w:hAnsi="Arial" w:cs="Arial"/>
          <w:sz w:val="22"/>
          <w:szCs w:val="22"/>
        </w:rPr>
      </w:pPr>
      <w:r w:rsidRPr="007F6CA6">
        <w:rPr>
          <w:rFonts w:ascii="Arial" w:hAnsi="Arial" w:cs="Arial"/>
          <w:sz w:val="22"/>
          <w:szCs w:val="22"/>
        </w:rPr>
        <w:t>De igual manera, la presencia de un caso asociado a sepsis bacteriana del recién nacido pone de relieve la necesidad de reforzar los procesos de prevención, detección oportuna y manejo adecuado de infecciones neonatales, dado que este tipo de eventos puede estar relacionado con fallas en la vigilancia clínica, retrasos diagnósticos o limitaciones en la respuesta temprana de los servicios de salud. En conjunto, el patrón observado confirma que los casos se concentraron en el periodo neonatal y perinatal, lo que orienta la necesidad de fortalecer las intervenciones dirigidas a la gestación, el parto y el cuidado inicial del recién nacido.</w:t>
      </w:r>
    </w:p>
    <w:p w14:paraId="4F52419E" w14:textId="77777777" w:rsidR="00F9461B" w:rsidRPr="007F6CA6" w:rsidRDefault="00F9461B" w:rsidP="007F6CA6">
      <w:pPr>
        <w:spacing w:line="360" w:lineRule="auto"/>
        <w:jc w:val="both"/>
        <w:rPr>
          <w:rFonts w:ascii="Arial" w:hAnsi="Arial" w:cs="Arial"/>
          <w:sz w:val="22"/>
          <w:szCs w:val="22"/>
        </w:rPr>
      </w:pPr>
    </w:p>
    <w:p w14:paraId="4FA6B9BB" w14:textId="77777777" w:rsidR="007F6CA6" w:rsidRPr="007F6CA6" w:rsidRDefault="007F6CA6" w:rsidP="007F6CA6">
      <w:pPr>
        <w:spacing w:line="360" w:lineRule="auto"/>
        <w:jc w:val="both"/>
        <w:rPr>
          <w:rFonts w:ascii="Arial" w:hAnsi="Arial" w:cs="Arial"/>
          <w:sz w:val="22"/>
          <w:szCs w:val="22"/>
        </w:rPr>
      </w:pPr>
      <w:r w:rsidRPr="007F6CA6">
        <w:rPr>
          <w:rFonts w:ascii="Arial" w:hAnsi="Arial" w:cs="Arial"/>
          <w:sz w:val="22"/>
          <w:szCs w:val="22"/>
        </w:rPr>
        <w:t>En síntesis, aunque la mortalidad infantil en la población afiliada a COOSALUD EPS en Bogotá D. C. presentó una baja frecuencia absoluta durante 2025, la concentración de casos en localidades con mayor vulnerabilidad y el predominio de causas asociadas al periodo perinatal y neonatal hacen necesario mantener un seguimiento estricto sobre la calidad y oportunidad de las intervenciones materno-perinatales. En este sentido, más que la magnitud global del indicador, lo relevante es la naturaleza de los eventos observados, que sugiere la necesidad de reforzar la gestión del riesgo en gestantes y recién nacidos, mejorar la trazabilidad de los casos y fortalecer la articulación entre aseguramiento, red prestadora y vigilancia territorial para prevenir desenlaces potencialmente evitables.</w:t>
      </w:r>
    </w:p>
    <w:p w14:paraId="6A433BA2" w14:textId="77777777" w:rsidR="008F2446" w:rsidRPr="006068A2" w:rsidRDefault="008F2446" w:rsidP="006068A2">
      <w:pPr>
        <w:spacing w:line="360" w:lineRule="auto"/>
        <w:jc w:val="both"/>
        <w:rPr>
          <w:rFonts w:ascii="Arial" w:hAnsi="Arial" w:cs="Arial"/>
          <w:sz w:val="22"/>
          <w:szCs w:val="22"/>
        </w:rPr>
      </w:pPr>
      <w:bookmarkStart w:id="41" w:name="_Hlk229057336"/>
    </w:p>
    <w:p w14:paraId="326F56FC" w14:textId="3BA45A2A" w:rsidR="00EA3126" w:rsidRPr="006068A2" w:rsidRDefault="00EA3126" w:rsidP="006068A2">
      <w:pPr>
        <w:pStyle w:val="Ttulo2"/>
        <w:spacing w:before="0" w:line="360" w:lineRule="auto"/>
        <w:jc w:val="both"/>
        <w:rPr>
          <w:rFonts w:ascii="Arial" w:hAnsi="Arial" w:cs="Arial"/>
          <w:b/>
          <w:bCs/>
          <w:color w:val="auto"/>
          <w:sz w:val="22"/>
          <w:szCs w:val="22"/>
        </w:rPr>
      </w:pPr>
      <w:bookmarkStart w:id="42" w:name="_Toc229397846"/>
      <w:r w:rsidRPr="006068A2">
        <w:rPr>
          <w:rFonts w:ascii="Arial" w:hAnsi="Arial" w:cs="Arial"/>
          <w:b/>
          <w:bCs/>
          <w:color w:val="auto"/>
          <w:sz w:val="22"/>
          <w:szCs w:val="22"/>
        </w:rPr>
        <w:t>5.3. Coberturas de Vacunación</w:t>
      </w:r>
      <w:bookmarkEnd w:id="42"/>
    </w:p>
    <w:p w14:paraId="706B285F" w14:textId="77777777" w:rsidR="000E5255" w:rsidRDefault="000E5255" w:rsidP="006068A2">
      <w:pPr>
        <w:spacing w:line="360" w:lineRule="auto"/>
        <w:jc w:val="both"/>
        <w:rPr>
          <w:rFonts w:ascii="Arial" w:hAnsi="Arial" w:cs="Arial"/>
          <w:bCs/>
          <w:color w:val="000000" w:themeColor="text1"/>
          <w:sz w:val="22"/>
          <w:szCs w:val="22"/>
        </w:rPr>
      </w:pPr>
    </w:p>
    <w:p w14:paraId="02E8580C" w14:textId="77777777"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 xml:space="preserve">De acuerdo con el informe de seguimiento al cumplimiento de coberturas de vacunación del Programa Ampliado de Inmunizaciones (PAI) para la vigencia 2025, remitido por la </w:t>
      </w:r>
      <w:r w:rsidRPr="00A4615B">
        <w:rPr>
          <w:rFonts w:ascii="Arial" w:hAnsi="Arial" w:cs="Arial"/>
          <w:bCs/>
          <w:color w:val="000000" w:themeColor="text1"/>
          <w:sz w:val="22"/>
          <w:szCs w:val="22"/>
        </w:rPr>
        <w:lastRenderedPageBreak/>
        <w:t>Secretaría Distrital de Salud a COOSALUD EPS, la cobertura mínima mensual esperada para los biológicos del esquema permanente correspondía al 7,92%. En consecuencia, el acumulado a diciembre de 2025 debía ser igual o superior al 95%, con el propósito de asegurar la vacunación de la población susceptible afiliada a la EAPB.</w:t>
      </w:r>
    </w:p>
    <w:p w14:paraId="70C3F1F1" w14:textId="77777777" w:rsidR="00A4615B" w:rsidRPr="00A4615B" w:rsidRDefault="00A4615B" w:rsidP="00A4615B">
      <w:pPr>
        <w:spacing w:line="360" w:lineRule="auto"/>
        <w:jc w:val="both"/>
        <w:rPr>
          <w:rFonts w:ascii="Arial" w:hAnsi="Arial" w:cs="Arial"/>
          <w:bCs/>
          <w:color w:val="000000" w:themeColor="text1"/>
          <w:sz w:val="22"/>
          <w:szCs w:val="22"/>
        </w:rPr>
      </w:pPr>
    </w:p>
    <w:p w14:paraId="75716F80" w14:textId="26867045"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Bajo este referente, el análisis de coberturas permite valorar el desempeño operativo de la entidad en la captación y vacunación de cohortes, así como identificar brechas programáticas y riesgos epidemiológicos asociados a esquemas incompletos o coberturas subóptimas en grupos priorizados. En términos generales, los trazadores del PAI en población infantil muestran un comportamiento heterogéneo: varios biológicos superan la meta acumulada esperada, mientras que persisten rezagos en vacunas estratégicas para el cierre oportuno de esquemas.</w:t>
      </w:r>
    </w:p>
    <w:p w14:paraId="63F32306" w14:textId="77777777" w:rsidR="00A4615B" w:rsidRPr="00A4615B" w:rsidRDefault="00A4615B" w:rsidP="006068A2">
      <w:pPr>
        <w:spacing w:line="360" w:lineRule="auto"/>
        <w:jc w:val="both"/>
        <w:rPr>
          <w:rFonts w:ascii="Arial" w:hAnsi="Arial" w:cs="Arial"/>
          <w:bCs/>
          <w:color w:val="000000" w:themeColor="text1"/>
          <w:sz w:val="22"/>
          <w:szCs w:val="22"/>
        </w:rPr>
      </w:pPr>
    </w:p>
    <w:p w14:paraId="567F48A9" w14:textId="5AE3751D" w:rsidR="006115AA" w:rsidRPr="006115AA" w:rsidRDefault="00D4296F" w:rsidP="003D4582">
      <w:pPr>
        <w:pStyle w:val="Descripcin"/>
        <w:spacing w:after="0" w:line="360" w:lineRule="auto"/>
        <w:jc w:val="both"/>
        <w:rPr>
          <w:lang w:val="es-MX"/>
        </w:rPr>
      </w:pPr>
      <w:bookmarkStart w:id="43" w:name="_Toc229395870"/>
      <w:r w:rsidRPr="00507B91">
        <w:rPr>
          <w:rFonts w:ascii="Arial" w:hAnsi="Arial" w:cs="Arial"/>
          <w:bCs/>
          <w:i w:val="0"/>
          <w:iCs w:val="0"/>
          <w:color w:val="000000" w:themeColor="text1"/>
          <w:sz w:val="22"/>
          <w:szCs w:val="22"/>
          <w:lang w:val="es-MX"/>
        </w:rPr>
        <w:t xml:space="preserve">Tabla </w:t>
      </w:r>
      <w:r w:rsidRPr="00507B91">
        <w:rPr>
          <w:rFonts w:ascii="Arial" w:hAnsi="Arial" w:cs="Arial"/>
          <w:bCs/>
          <w:i w:val="0"/>
          <w:iCs w:val="0"/>
          <w:color w:val="000000" w:themeColor="text1"/>
          <w:sz w:val="22"/>
          <w:szCs w:val="22"/>
          <w:lang w:val="es-MX"/>
        </w:rPr>
        <w:fldChar w:fldCharType="begin"/>
      </w:r>
      <w:r w:rsidRPr="00507B91">
        <w:rPr>
          <w:rFonts w:ascii="Arial" w:hAnsi="Arial" w:cs="Arial"/>
          <w:bCs/>
          <w:i w:val="0"/>
          <w:iCs w:val="0"/>
          <w:color w:val="000000" w:themeColor="text1"/>
          <w:sz w:val="22"/>
          <w:szCs w:val="22"/>
          <w:lang w:val="es-MX"/>
        </w:rPr>
        <w:instrText xml:space="preserve"> SEQ Tabla \* ARABIC </w:instrText>
      </w:r>
      <w:r w:rsidRPr="00507B91">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13</w:t>
      </w:r>
      <w:r w:rsidRPr="00507B91">
        <w:rPr>
          <w:rFonts w:ascii="Arial" w:hAnsi="Arial" w:cs="Arial"/>
          <w:bCs/>
          <w:i w:val="0"/>
          <w:iCs w:val="0"/>
          <w:color w:val="000000" w:themeColor="text1"/>
          <w:sz w:val="22"/>
          <w:szCs w:val="22"/>
          <w:lang w:val="es-MX"/>
        </w:rPr>
        <w:fldChar w:fldCharType="end"/>
      </w:r>
      <w:r w:rsidRPr="00507B91">
        <w:rPr>
          <w:rFonts w:ascii="Arial" w:hAnsi="Arial" w:cs="Arial"/>
          <w:bCs/>
          <w:i w:val="0"/>
          <w:iCs w:val="0"/>
          <w:color w:val="000000" w:themeColor="text1"/>
          <w:sz w:val="22"/>
          <w:szCs w:val="22"/>
          <w:lang w:val="es-MX"/>
        </w:rPr>
        <w:t xml:space="preserve">. </w:t>
      </w:r>
      <w:r w:rsidR="003D4582" w:rsidRPr="003D4582">
        <w:rPr>
          <w:rFonts w:ascii="Arial" w:hAnsi="Arial" w:cs="Arial"/>
          <w:bCs/>
          <w:i w:val="0"/>
          <w:iCs w:val="0"/>
          <w:color w:val="000000" w:themeColor="text1"/>
          <w:sz w:val="22"/>
          <w:szCs w:val="22"/>
          <w:lang w:val="es-MX"/>
        </w:rPr>
        <w:t>Coberturas trazadoras del PAI en población infantil afiliada a COOSALUD EPS. Bogotá D. C., 2025</w:t>
      </w:r>
      <w:bookmarkEnd w:id="43"/>
    </w:p>
    <w:p w14:paraId="1093ABD9" w14:textId="77777777" w:rsidR="003D4582" w:rsidRDefault="003D4582" w:rsidP="006068A2">
      <w:pPr>
        <w:spacing w:line="360" w:lineRule="auto"/>
        <w:jc w:val="both"/>
        <w:rPr>
          <w:rFonts w:ascii="Arial" w:hAnsi="Arial" w:cs="Arial"/>
          <w:bCs/>
          <w:sz w:val="16"/>
          <w:szCs w:val="16"/>
        </w:rPr>
      </w:pPr>
    </w:p>
    <w:tbl>
      <w:tblPr>
        <w:tblStyle w:val="Tablaconcuadrcula"/>
        <w:tblW w:w="9054" w:type="dxa"/>
        <w:tblLook w:val="04A0" w:firstRow="1" w:lastRow="0" w:firstColumn="1" w:lastColumn="0" w:noHBand="0" w:noVBand="1"/>
      </w:tblPr>
      <w:tblGrid>
        <w:gridCol w:w="4539"/>
        <w:gridCol w:w="1142"/>
        <w:gridCol w:w="1740"/>
        <w:gridCol w:w="1633"/>
      </w:tblGrid>
      <w:tr w:rsidR="003D4582" w:rsidRPr="003D4582" w14:paraId="61B08C46" w14:textId="77777777" w:rsidTr="003D4582">
        <w:trPr>
          <w:trHeight w:val="828"/>
          <w:tblHeader/>
        </w:trPr>
        <w:tc>
          <w:tcPr>
            <w:tcW w:w="4539" w:type="dxa"/>
            <w:vAlign w:val="center"/>
          </w:tcPr>
          <w:p w14:paraId="28652F93" w14:textId="77777777" w:rsidR="003D4582" w:rsidRPr="003D4582" w:rsidRDefault="003D4582" w:rsidP="0064323B">
            <w:pPr>
              <w:jc w:val="center"/>
              <w:rPr>
                <w:rFonts w:ascii="Arial" w:hAnsi="Arial" w:cs="Arial"/>
                <w:sz w:val="22"/>
                <w:szCs w:val="22"/>
              </w:rPr>
            </w:pPr>
            <w:r w:rsidRPr="003D4582">
              <w:rPr>
                <w:rFonts w:ascii="Arial" w:hAnsi="Arial" w:cs="Arial"/>
                <w:b/>
                <w:sz w:val="22"/>
                <w:szCs w:val="22"/>
              </w:rPr>
              <w:t>Biológico / cohorte</w:t>
            </w:r>
          </w:p>
        </w:tc>
        <w:tc>
          <w:tcPr>
            <w:tcW w:w="1142" w:type="dxa"/>
            <w:vAlign w:val="center"/>
          </w:tcPr>
          <w:p w14:paraId="4CDEDAEA"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Meta</w:t>
            </w:r>
          </w:p>
        </w:tc>
        <w:tc>
          <w:tcPr>
            <w:tcW w:w="1740" w:type="dxa"/>
            <w:vAlign w:val="center"/>
          </w:tcPr>
          <w:p w14:paraId="1C812BE9"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Vacunados/as</w:t>
            </w:r>
          </w:p>
        </w:tc>
        <w:tc>
          <w:tcPr>
            <w:tcW w:w="1633" w:type="dxa"/>
            <w:vAlign w:val="center"/>
          </w:tcPr>
          <w:p w14:paraId="227E4883"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Cobertura (%)</w:t>
            </w:r>
          </w:p>
        </w:tc>
      </w:tr>
      <w:tr w:rsidR="003D4582" w:rsidRPr="003D4582" w14:paraId="2540279F" w14:textId="77777777" w:rsidTr="003D4582">
        <w:trPr>
          <w:trHeight w:val="414"/>
        </w:trPr>
        <w:tc>
          <w:tcPr>
            <w:tcW w:w="4539" w:type="dxa"/>
            <w:vAlign w:val="center"/>
          </w:tcPr>
          <w:p w14:paraId="4D024C98" w14:textId="77777777" w:rsidR="003D4582" w:rsidRPr="003D4582" w:rsidRDefault="003D4582" w:rsidP="0064323B">
            <w:pPr>
              <w:rPr>
                <w:rFonts w:ascii="Arial" w:hAnsi="Arial" w:cs="Arial"/>
                <w:sz w:val="22"/>
                <w:szCs w:val="22"/>
              </w:rPr>
            </w:pPr>
            <w:r w:rsidRPr="003D4582">
              <w:rPr>
                <w:rFonts w:ascii="Arial" w:hAnsi="Arial" w:cs="Arial"/>
                <w:sz w:val="22"/>
                <w:szCs w:val="22"/>
              </w:rPr>
              <w:t>Pentavalente, 3.ª dosis, menores de 1 año</w:t>
            </w:r>
          </w:p>
        </w:tc>
        <w:tc>
          <w:tcPr>
            <w:tcW w:w="1142" w:type="dxa"/>
            <w:vAlign w:val="center"/>
          </w:tcPr>
          <w:p w14:paraId="6C414406"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361</w:t>
            </w:r>
          </w:p>
        </w:tc>
        <w:tc>
          <w:tcPr>
            <w:tcW w:w="1740" w:type="dxa"/>
            <w:vAlign w:val="center"/>
          </w:tcPr>
          <w:p w14:paraId="1EDB8E19"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595</w:t>
            </w:r>
          </w:p>
        </w:tc>
        <w:tc>
          <w:tcPr>
            <w:tcW w:w="1633" w:type="dxa"/>
            <w:vAlign w:val="center"/>
          </w:tcPr>
          <w:p w14:paraId="67E7088E" w14:textId="7EFEE52C" w:rsidR="003D4582" w:rsidRPr="003D4582" w:rsidRDefault="003D4582" w:rsidP="003D4582">
            <w:pPr>
              <w:jc w:val="center"/>
              <w:rPr>
                <w:rFonts w:ascii="Arial" w:hAnsi="Arial" w:cs="Arial"/>
                <w:sz w:val="22"/>
                <w:szCs w:val="22"/>
              </w:rPr>
            </w:pPr>
            <w:r w:rsidRPr="003D4582">
              <w:rPr>
                <w:rFonts w:ascii="Arial" w:hAnsi="Arial" w:cs="Arial"/>
                <w:sz w:val="22"/>
                <w:szCs w:val="22"/>
              </w:rPr>
              <w:t>165</w:t>
            </w:r>
          </w:p>
        </w:tc>
      </w:tr>
      <w:tr w:rsidR="003D4582" w:rsidRPr="003D4582" w14:paraId="6EA20E35" w14:textId="77777777" w:rsidTr="003D4582">
        <w:trPr>
          <w:trHeight w:val="414"/>
        </w:trPr>
        <w:tc>
          <w:tcPr>
            <w:tcW w:w="4539" w:type="dxa"/>
            <w:vAlign w:val="center"/>
          </w:tcPr>
          <w:p w14:paraId="293CD827" w14:textId="77777777" w:rsidR="003D4582" w:rsidRPr="003D4582" w:rsidRDefault="003D4582" w:rsidP="0064323B">
            <w:pPr>
              <w:rPr>
                <w:rFonts w:ascii="Arial" w:hAnsi="Arial" w:cs="Arial"/>
                <w:sz w:val="22"/>
                <w:szCs w:val="22"/>
              </w:rPr>
            </w:pPr>
            <w:r w:rsidRPr="003D4582">
              <w:rPr>
                <w:rFonts w:ascii="Arial" w:hAnsi="Arial" w:cs="Arial"/>
                <w:sz w:val="22"/>
                <w:szCs w:val="22"/>
              </w:rPr>
              <w:t>Triple viral, 1.ª dosis, 1 año</w:t>
            </w:r>
          </w:p>
        </w:tc>
        <w:tc>
          <w:tcPr>
            <w:tcW w:w="1142" w:type="dxa"/>
            <w:vAlign w:val="center"/>
          </w:tcPr>
          <w:p w14:paraId="1E3D1E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29C3D472"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513</w:t>
            </w:r>
          </w:p>
        </w:tc>
        <w:tc>
          <w:tcPr>
            <w:tcW w:w="1633" w:type="dxa"/>
            <w:vAlign w:val="center"/>
          </w:tcPr>
          <w:p w14:paraId="58B9E564" w14:textId="24EA8545" w:rsidR="003D4582" w:rsidRPr="003D4582" w:rsidRDefault="003D4582" w:rsidP="003D4582">
            <w:pPr>
              <w:jc w:val="center"/>
              <w:rPr>
                <w:rFonts w:ascii="Arial" w:hAnsi="Arial" w:cs="Arial"/>
                <w:sz w:val="22"/>
                <w:szCs w:val="22"/>
              </w:rPr>
            </w:pPr>
            <w:r w:rsidRPr="003D4582">
              <w:rPr>
                <w:rFonts w:ascii="Arial" w:hAnsi="Arial" w:cs="Arial"/>
                <w:sz w:val="22"/>
                <w:szCs w:val="22"/>
              </w:rPr>
              <w:t>126</w:t>
            </w:r>
          </w:p>
        </w:tc>
      </w:tr>
      <w:tr w:rsidR="003D4582" w:rsidRPr="003D4582" w14:paraId="2666CB68" w14:textId="77777777" w:rsidTr="003D4582">
        <w:trPr>
          <w:trHeight w:val="414"/>
        </w:trPr>
        <w:tc>
          <w:tcPr>
            <w:tcW w:w="4539" w:type="dxa"/>
            <w:vAlign w:val="center"/>
          </w:tcPr>
          <w:p w14:paraId="5A080223" w14:textId="77777777" w:rsidR="003D4582" w:rsidRPr="003D4582" w:rsidRDefault="003D4582" w:rsidP="0064323B">
            <w:pPr>
              <w:rPr>
                <w:rFonts w:ascii="Arial" w:hAnsi="Arial" w:cs="Arial"/>
                <w:sz w:val="22"/>
                <w:szCs w:val="22"/>
              </w:rPr>
            </w:pPr>
            <w:r w:rsidRPr="003D4582">
              <w:rPr>
                <w:rFonts w:ascii="Arial" w:hAnsi="Arial" w:cs="Arial"/>
                <w:sz w:val="22"/>
                <w:szCs w:val="22"/>
              </w:rPr>
              <w:t>Triple viral, refuerzo, 18 a 23 meses</w:t>
            </w:r>
          </w:p>
        </w:tc>
        <w:tc>
          <w:tcPr>
            <w:tcW w:w="1142" w:type="dxa"/>
            <w:vAlign w:val="center"/>
          </w:tcPr>
          <w:p w14:paraId="0046CE5D"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37676A80"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421</w:t>
            </w:r>
          </w:p>
        </w:tc>
        <w:tc>
          <w:tcPr>
            <w:tcW w:w="1633" w:type="dxa"/>
            <w:vAlign w:val="center"/>
          </w:tcPr>
          <w:p w14:paraId="156D8A7E" w14:textId="3C2CB431" w:rsidR="003D4582" w:rsidRPr="003D4582" w:rsidRDefault="003D4582" w:rsidP="003D4582">
            <w:pPr>
              <w:jc w:val="center"/>
              <w:rPr>
                <w:rFonts w:ascii="Arial" w:hAnsi="Arial" w:cs="Arial"/>
                <w:sz w:val="22"/>
                <w:szCs w:val="22"/>
              </w:rPr>
            </w:pPr>
            <w:r w:rsidRPr="003D4582">
              <w:rPr>
                <w:rFonts w:ascii="Arial" w:hAnsi="Arial" w:cs="Arial"/>
                <w:sz w:val="22"/>
                <w:szCs w:val="22"/>
              </w:rPr>
              <w:t>104</w:t>
            </w:r>
          </w:p>
        </w:tc>
      </w:tr>
      <w:tr w:rsidR="003D4582" w:rsidRPr="003D4582" w14:paraId="39FAE916" w14:textId="77777777" w:rsidTr="003D4582">
        <w:trPr>
          <w:trHeight w:val="414"/>
        </w:trPr>
        <w:tc>
          <w:tcPr>
            <w:tcW w:w="4539" w:type="dxa"/>
            <w:vAlign w:val="center"/>
          </w:tcPr>
          <w:p w14:paraId="50962122" w14:textId="77777777" w:rsidR="003D4582" w:rsidRPr="003D4582" w:rsidRDefault="003D4582" w:rsidP="0064323B">
            <w:pPr>
              <w:rPr>
                <w:rFonts w:ascii="Arial" w:hAnsi="Arial" w:cs="Arial"/>
                <w:sz w:val="22"/>
                <w:szCs w:val="22"/>
              </w:rPr>
            </w:pPr>
            <w:r w:rsidRPr="003D4582">
              <w:rPr>
                <w:rFonts w:ascii="Arial" w:hAnsi="Arial" w:cs="Arial"/>
                <w:sz w:val="22"/>
                <w:szCs w:val="22"/>
              </w:rPr>
              <w:t>Fiebre amarilla, 18 a 23 meses</w:t>
            </w:r>
          </w:p>
        </w:tc>
        <w:tc>
          <w:tcPr>
            <w:tcW w:w="1142" w:type="dxa"/>
            <w:vAlign w:val="center"/>
          </w:tcPr>
          <w:p w14:paraId="2A81F2B7"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564916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508</w:t>
            </w:r>
          </w:p>
        </w:tc>
        <w:tc>
          <w:tcPr>
            <w:tcW w:w="1633" w:type="dxa"/>
            <w:vAlign w:val="center"/>
          </w:tcPr>
          <w:p w14:paraId="4CECF835" w14:textId="7A6B8104" w:rsidR="003D4582" w:rsidRPr="003D4582" w:rsidRDefault="003D4582" w:rsidP="003D4582">
            <w:pPr>
              <w:jc w:val="center"/>
              <w:rPr>
                <w:rFonts w:ascii="Arial" w:hAnsi="Arial" w:cs="Arial"/>
                <w:sz w:val="22"/>
                <w:szCs w:val="22"/>
              </w:rPr>
            </w:pPr>
            <w:r w:rsidRPr="003D4582">
              <w:rPr>
                <w:rFonts w:ascii="Arial" w:hAnsi="Arial" w:cs="Arial"/>
                <w:sz w:val="22"/>
                <w:szCs w:val="22"/>
              </w:rPr>
              <w:t>125</w:t>
            </w:r>
          </w:p>
        </w:tc>
      </w:tr>
      <w:tr w:rsidR="003D4582" w:rsidRPr="003D4582" w14:paraId="5BAABABD" w14:textId="77777777" w:rsidTr="003D4582">
        <w:trPr>
          <w:trHeight w:val="394"/>
        </w:trPr>
        <w:tc>
          <w:tcPr>
            <w:tcW w:w="4539" w:type="dxa"/>
            <w:vAlign w:val="center"/>
          </w:tcPr>
          <w:p w14:paraId="69CCD70B" w14:textId="77777777" w:rsidR="003D4582" w:rsidRPr="003D4582" w:rsidRDefault="003D4582" w:rsidP="0064323B">
            <w:pPr>
              <w:rPr>
                <w:rFonts w:ascii="Arial" w:hAnsi="Arial" w:cs="Arial"/>
                <w:sz w:val="22"/>
                <w:szCs w:val="22"/>
              </w:rPr>
            </w:pPr>
            <w:r w:rsidRPr="003D4582">
              <w:rPr>
                <w:rFonts w:ascii="Arial" w:hAnsi="Arial" w:cs="Arial"/>
                <w:sz w:val="22"/>
                <w:szCs w:val="22"/>
              </w:rPr>
              <w:t>DPT, segundo refuerzo, 5 años</w:t>
            </w:r>
          </w:p>
        </w:tc>
        <w:tc>
          <w:tcPr>
            <w:tcW w:w="1142" w:type="dxa"/>
            <w:vAlign w:val="center"/>
          </w:tcPr>
          <w:p w14:paraId="7262A9F8"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487</w:t>
            </w:r>
          </w:p>
        </w:tc>
        <w:tc>
          <w:tcPr>
            <w:tcW w:w="1740" w:type="dxa"/>
            <w:vAlign w:val="center"/>
          </w:tcPr>
          <w:p w14:paraId="4E1F7B4A"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399</w:t>
            </w:r>
          </w:p>
        </w:tc>
        <w:tc>
          <w:tcPr>
            <w:tcW w:w="1633" w:type="dxa"/>
            <w:vAlign w:val="center"/>
          </w:tcPr>
          <w:p w14:paraId="28C9AAD0" w14:textId="25D8E630" w:rsidR="003D4582" w:rsidRPr="003D4582" w:rsidRDefault="003D4582" w:rsidP="003D4582">
            <w:pPr>
              <w:jc w:val="center"/>
              <w:rPr>
                <w:rFonts w:ascii="Arial" w:hAnsi="Arial" w:cs="Arial"/>
                <w:sz w:val="22"/>
                <w:szCs w:val="22"/>
              </w:rPr>
            </w:pPr>
            <w:r w:rsidRPr="003D4582">
              <w:rPr>
                <w:rFonts w:ascii="Arial" w:hAnsi="Arial" w:cs="Arial"/>
                <w:sz w:val="22"/>
                <w:szCs w:val="22"/>
              </w:rPr>
              <w:t>82</w:t>
            </w:r>
          </w:p>
        </w:tc>
      </w:tr>
    </w:tbl>
    <w:p w14:paraId="524ABDBD" w14:textId="77777777" w:rsidR="003D4582" w:rsidRDefault="003D4582" w:rsidP="006068A2">
      <w:pPr>
        <w:spacing w:line="360" w:lineRule="auto"/>
        <w:jc w:val="both"/>
        <w:rPr>
          <w:rFonts w:ascii="Arial" w:hAnsi="Arial" w:cs="Arial"/>
          <w:bCs/>
          <w:sz w:val="16"/>
          <w:szCs w:val="16"/>
        </w:rPr>
      </w:pPr>
    </w:p>
    <w:p w14:paraId="17AA470D" w14:textId="53AF51D3" w:rsidR="000E5255" w:rsidRPr="00507B91" w:rsidRDefault="000E5255" w:rsidP="006068A2">
      <w:pPr>
        <w:spacing w:line="360" w:lineRule="auto"/>
        <w:jc w:val="both"/>
        <w:rPr>
          <w:rFonts w:ascii="Arial" w:hAnsi="Arial" w:cs="Arial"/>
          <w:bCs/>
          <w:color w:val="C00000"/>
          <w:sz w:val="16"/>
          <w:szCs w:val="16"/>
          <w:lang w:val="es-ES"/>
        </w:rPr>
      </w:pPr>
      <w:r w:rsidRPr="00507B91">
        <w:rPr>
          <w:rFonts w:ascii="Arial" w:hAnsi="Arial" w:cs="Arial"/>
          <w:bCs/>
          <w:sz w:val="16"/>
          <w:szCs w:val="16"/>
        </w:rPr>
        <w:t xml:space="preserve">Fuente: </w:t>
      </w:r>
      <w:r w:rsidR="003D4582" w:rsidRPr="003D4582">
        <w:rPr>
          <w:rFonts w:ascii="Arial" w:hAnsi="Arial" w:cs="Arial"/>
          <w:bCs/>
          <w:sz w:val="16"/>
          <w:szCs w:val="16"/>
        </w:rPr>
        <w:t>BDUA de Subsecretaría de Aseguramiento, corte a 31 de diciembre de 2025; Tablero de control de vacunación trazadores de 0 a 5 años; Aplicativo PAI 2.5 SDS; Sistema de Información PAI; Secretaría Distrital de Salud, Bogotá, enero-diciembre de 2025.</w:t>
      </w:r>
    </w:p>
    <w:p w14:paraId="7A74825B" w14:textId="77777777" w:rsidR="000E5255" w:rsidRPr="00507B91" w:rsidRDefault="000E5255" w:rsidP="006068A2">
      <w:pPr>
        <w:spacing w:line="360" w:lineRule="auto"/>
        <w:jc w:val="both"/>
        <w:rPr>
          <w:rFonts w:ascii="Arial" w:hAnsi="Arial" w:cs="Arial"/>
          <w:bCs/>
          <w:color w:val="C00000"/>
          <w:sz w:val="22"/>
          <w:szCs w:val="22"/>
        </w:rPr>
      </w:pPr>
    </w:p>
    <w:p w14:paraId="605F6FB2"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 xml:space="preserve">De acuerdo con los resultados obtenidos a diciembre de 2025, COOSALUD EPS alcanzó coberturas superiores a la meta programada en cuatro de los cinco trazadores analizados del Programa Ampliado de Inmunizaciones (PAI) en población infantil. En particular, se observa un cumplimiento de 165% en la tercera dosis de pentavalente en menores de un año, 126% en la primera dosis de triple viral al año de edad, 104% en el refuerzo de triple viral entre los 18 y 23 meses, y 125% en la vacuna de fiebre amarilla para este mismo grupo </w:t>
      </w:r>
      <w:r w:rsidRPr="0044359F">
        <w:rPr>
          <w:rFonts w:ascii="Arial" w:hAnsi="Arial" w:cs="Arial"/>
          <w:bCs/>
          <w:sz w:val="22"/>
          <w:szCs w:val="22"/>
        </w:rPr>
        <w:lastRenderedPageBreak/>
        <w:t>etario. Estos resultados indican una capacidad importante de captación y vacunación de la población susceptible, aunque las coberturas superiores al 100% deben interpretarse con cautela, dado que pueden reflejar recuperación de rezagos, actualización de cohortes, diferencias entre la población meta proyectada y la población efectivamente vacunada, o dinámicas de captación extramural.</w:t>
      </w:r>
    </w:p>
    <w:p w14:paraId="484CE844" w14:textId="77777777" w:rsidR="0044359F" w:rsidRPr="0044359F" w:rsidRDefault="0044359F" w:rsidP="0044359F">
      <w:pPr>
        <w:spacing w:line="360" w:lineRule="auto"/>
        <w:jc w:val="both"/>
        <w:rPr>
          <w:rFonts w:ascii="Arial" w:hAnsi="Arial" w:cs="Arial"/>
          <w:bCs/>
          <w:sz w:val="22"/>
          <w:szCs w:val="22"/>
        </w:rPr>
      </w:pPr>
    </w:p>
    <w:p w14:paraId="4977420F"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No obstante, el comportamiento del trazador correspondiente al segundo refuerzo de DPT a los 5 años evidencia una brecha relevante, al registrar una cobertura de 82%, con 399 niños y niñas vacunados frente a una meta de 487. Este resultado se ubica por debajo del umbral esperado para el cierre anual y constituye el principal rezago identificado en este grupo de trazadores, lo que resalta la necesidad de fortalecer las estrategias de demanda inducida, búsqueda activa de susceptibles y seguimiento nominal de cohortes, especialmente en población infantil próxima al cierre del esquema.</w:t>
      </w:r>
    </w:p>
    <w:p w14:paraId="7F2E0C9E" w14:textId="77777777" w:rsidR="0044359F" w:rsidRPr="0044359F" w:rsidRDefault="0044359F" w:rsidP="0044359F">
      <w:pPr>
        <w:spacing w:line="360" w:lineRule="auto"/>
        <w:jc w:val="both"/>
        <w:rPr>
          <w:rFonts w:ascii="Arial" w:hAnsi="Arial" w:cs="Arial"/>
          <w:bCs/>
          <w:sz w:val="22"/>
          <w:szCs w:val="22"/>
        </w:rPr>
      </w:pPr>
    </w:p>
    <w:p w14:paraId="0BDDCDF5" w14:textId="24A6FB11" w:rsidR="000E5255" w:rsidRDefault="0044359F" w:rsidP="0044359F">
      <w:pPr>
        <w:spacing w:line="360" w:lineRule="auto"/>
        <w:jc w:val="both"/>
        <w:rPr>
          <w:rFonts w:ascii="Arial" w:hAnsi="Arial" w:cs="Arial"/>
          <w:bCs/>
          <w:sz w:val="22"/>
          <w:szCs w:val="22"/>
        </w:rPr>
      </w:pPr>
      <w:r w:rsidRPr="0044359F">
        <w:rPr>
          <w:rFonts w:ascii="Arial" w:hAnsi="Arial" w:cs="Arial"/>
          <w:bCs/>
          <w:sz w:val="22"/>
          <w:szCs w:val="22"/>
        </w:rPr>
        <w:t>En términos generales, los hallazgos muestran un desempeño favorable en la mayoría de los biológicos trazadores, pero también evidencian la necesidad de profundizar el análisis de las metas programadas y de la consistencia entre denominadores poblacionales y coberturas alcanzadas, con el fin de garantizar una lectura más precisa del comportamiento vacunal de la EAPB. En este sentido, el resultado observado para DPT a los 5 años debe ser objeto de seguimiento prioritario, mientras que las coberturas superiores al 100% en otros trazadores invitan a revisar la depuración nominal de las cohortes y la planeación de metas para la vigencia siguiente, de manera que el monitoreo del programa se mantenga alineado con la realidad poblacional de los afiliados en Bogotá D. C.</w:t>
      </w:r>
    </w:p>
    <w:p w14:paraId="466DCA4F" w14:textId="77777777" w:rsidR="0044359F" w:rsidRPr="00611BA9" w:rsidRDefault="0044359F" w:rsidP="00611BA9">
      <w:pPr>
        <w:spacing w:line="360" w:lineRule="auto"/>
        <w:jc w:val="both"/>
        <w:rPr>
          <w:rFonts w:ascii="Arial" w:hAnsi="Arial" w:cs="Arial"/>
          <w:bCs/>
          <w:sz w:val="22"/>
          <w:szCs w:val="22"/>
        </w:rPr>
      </w:pPr>
    </w:p>
    <w:p w14:paraId="75E5B128" w14:textId="43635709"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4" w:name="_Toc229397847"/>
      <w:bookmarkEnd w:id="41"/>
      <w:r w:rsidRPr="00611BA9">
        <w:rPr>
          <w:rFonts w:ascii="Arial" w:hAnsi="Arial" w:cs="Arial"/>
          <w:b/>
          <w:color w:val="auto"/>
          <w:sz w:val="22"/>
          <w:szCs w:val="22"/>
        </w:rPr>
        <w:t>Triple viral de 1 año</w:t>
      </w:r>
      <w:bookmarkEnd w:id="44"/>
    </w:p>
    <w:p w14:paraId="60A5D7CA" w14:textId="77777777" w:rsidR="00611BA9" w:rsidRDefault="00611BA9" w:rsidP="00611BA9">
      <w:pPr>
        <w:spacing w:line="360" w:lineRule="auto"/>
        <w:jc w:val="both"/>
        <w:rPr>
          <w:rFonts w:ascii="Arial" w:hAnsi="Arial" w:cs="Arial"/>
          <w:sz w:val="22"/>
          <w:szCs w:val="22"/>
        </w:rPr>
      </w:pPr>
    </w:p>
    <w:p w14:paraId="07CA44B2" w14:textId="1341DC1C"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la cohorte de niños y niñas de 1 año, COOSALUD EPS reportó una cobertura de 126,0% para la primera dosis de triple viral, al registrar 513 vacunados/as frente a una meta de 406. Este resultado supera ampliamente el umbral programático esperado y, en principio, constituye un indicador favorable de captación y vacunación efectiva de la cohorte susceptible frente a sarampión, rubéola y parotiditis.</w:t>
      </w:r>
    </w:p>
    <w:p w14:paraId="1F35A13F" w14:textId="77777777" w:rsidR="00611BA9" w:rsidRPr="00611BA9" w:rsidRDefault="00611BA9" w:rsidP="00611BA9">
      <w:pPr>
        <w:spacing w:line="360" w:lineRule="auto"/>
        <w:jc w:val="both"/>
        <w:rPr>
          <w:rFonts w:ascii="Arial" w:hAnsi="Arial" w:cs="Arial"/>
          <w:sz w:val="22"/>
          <w:szCs w:val="22"/>
        </w:rPr>
      </w:pPr>
    </w:p>
    <w:p w14:paraId="75BA0933"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lastRenderedPageBreak/>
        <w:t>No obstante, una cobertura superior al 100% debe interpretarse con cautela. Más que asumirse automáticamente como sobrecumplimiento, puede reflejar vacunación de rezagos, captación extramural, depuración nominal o diferencias entre la meta proyectada y la población efectivamente vacunada. En ese sentido, aunque el resultado es positivo desde el punto de vista operativo, conviene complementarlo con verificación nominal de cohortes y con revisión de la consistencia entre meta poblacional y universo vacunado, a fin de fortalecer la trazabilidad del dato y su utilidad en la planeación de la siguiente vigencia.</w:t>
      </w:r>
    </w:p>
    <w:p w14:paraId="76533D7A" w14:textId="77777777" w:rsidR="00611BA9" w:rsidRPr="00611BA9" w:rsidRDefault="00611BA9" w:rsidP="00611BA9">
      <w:pPr>
        <w:spacing w:line="360" w:lineRule="auto"/>
        <w:jc w:val="both"/>
        <w:rPr>
          <w:rFonts w:ascii="Arial" w:hAnsi="Arial" w:cs="Arial"/>
          <w:sz w:val="22"/>
          <w:szCs w:val="22"/>
        </w:rPr>
      </w:pPr>
    </w:p>
    <w:p w14:paraId="7CFFCDA1" w14:textId="5CAFD6CF"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5" w:name="_Toc229397848"/>
      <w:r w:rsidRPr="00611BA9">
        <w:rPr>
          <w:rFonts w:ascii="Arial" w:hAnsi="Arial" w:cs="Arial"/>
          <w:b/>
          <w:color w:val="auto"/>
          <w:sz w:val="22"/>
          <w:szCs w:val="22"/>
        </w:rPr>
        <w:t>Triple viral de 18–23 meses: trazador funcional del cierre de esquema para sarampión-rubéola</w:t>
      </w:r>
      <w:bookmarkEnd w:id="45"/>
    </w:p>
    <w:p w14:paraId="3EB513D7" w14:textId="77777777" w:rsidR="00F82F72" w:rsidRDefault="00F82F72" w:rsidP="00611BA9">
      <w:pPr>
        <w:spacing w:line="360" w:lineRule="auto"/>
        <w:jc w:val="both"/>
        <w:rPr>
          <w:rFonts w:ascii="Arial" w:hAnsi="Arial" w:cs="Arial"/>
          <w:sz w:val="22"/>
          <w:szCs w:val="22"/>
        </w:rPr>
      </w:pPr>
    </w:p>
    <w:p w14:paraId="7C808D19" w14:textId="60D0A0C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Para la cohorte de 18 a 23 meses, COOSALUD EPS reportó una cobertura de 104,0% en el refuerzo de triple viral, con 421 vacunados/as frente a una meta de 406. Este resultado indica que, en el trazador funcional del cierre temprano del esquema, la EAPB logró superar la meta acumulada esperada, lo cual es favorable desde el punto de vista del fortalecimiento de la inmunidad poblacional y del cierre oportuno de esquemas en la primera infancia.</w:t>
      </w:r>
    </w:p>
    <w:p w14:paraId="4115C6EF" w14:textId="77777777" w:rsidR="00F82F72" w:rsidRPr="00611BA9" w:rsidRDefault="00F82F72" w:rsidP="00611BA9">
      <w:pPr>
        <w:spacing w:line="360" w:lineRule="auto"/>
        <w:jc w:val="both"/>
        <w:rPr>
          <w:rFonts w:ascii="Arial" w:hAnsi="Arial" w:cs="Arial"/>
          <w:sz w:val="22"/>
          <w:szCs w:val="22"/>
        </w:rPr>
      </w:pPr>
    </w:p>
    <w:p w14:paraId="6AB202C6" w14:textId="69D7F9D1"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Sin embargo, el desempeño del refuerzo de triple viral debe contrastarse con el comportamiento de la cobertura de sarampión-rubéola en cohortes más amplias. El mismo informe reporta para COOSALUD </w:t>
      </w:r>
      <w:r w:rsidR="00237C6E">
        <w:rPr>
          <w:rFonts w:ascii="Arial" w:hAnsi="Arial" w:cs="Arial"/>
          <w:sz w:val="22"/>
          <w:szCs w:val="22"/>
        </w:rPr>
        <w:t xml:space="preserve">EPS </w:t>
      </w:r>
      <w:r w:rsidRPr="00611BA9">
        <w:rPr>
          <w:rFonts w:ascii="Arial" w:hAnsi="Arial" w:cs="Arial"/>
          <w:sz w:val="22"/>
          <w:szCs w:val="22"/>
        </w:rPr>
        <w:t>una cobertura de 91,6% en la vacunación contra sarampión-rubéola en las cohortes de nacimiento 2010–2019, con 2.403 personas vacunadas frente a una meta de 2.624, quedando 221 susceptibles pendientes por captar. Aunque este resultado es alto, permanece por debajo del umbral de 95% considerado necesario para interrumpir la transmisión y reducir el riesgo de brotes.</w:t>
      </w:r>
    </w:p>
    <w:p w14:paraId="3A59B17A" w14:textId="77777777" w:rsidR="004B3024" w:rsidRPr="008468A5" w:rsidRDefault="004B3024" w:rsidP="00611BA9">
      <w:pPr>
        <w:spacing w:line="360" w:lineRule="auto"/>
        <w:jc w:val="both"/>
        <w:rPr>
          <w:rFonts w:ascii="Arial" w:hAnsi="Arial" w:cs="Arial"/>
          <w:sz w:val="28"/>
          <w:szCs w:val="28"/>
        </w:rPr>
      </w:pPr>
    </w:p>
    <w:p w14:paraId="69CE9C46" w14:textId="2D9FE4E3" w:rsidR="008468A5" w:rsidRDefault="008468A5" w:rsidP="008468A5">
      <w:pPr>
        <w:pStyle w:val="Descripcin"/>
        <w:keepNext/>
      </w:pPr>
      <w:bookmarkStart w:id="46" w:name="_Toc229395871"/>
      <w:r w:rsidRPr="008468A5">
        <w:rPr>
          <w:rFonts w:ascii="Arial" w:hAnsi="Arial" w:cs="Arial"/>
          <w:i w:val="0"/>
          <w:iCs w:val="0"/>
          <w:color w:val="auto"/>
          <w:sz w:val="22"/>
          <w:szCs w:val="22"/>
        </w:rPr>
        <w:t xml:space="preserve">Tabla </w:t>
      </w:r>
      <w:r w:rsidRPr="008468A5">
        <w:rPr>
          <w:rFonts w:ascii="Arial" w:hAnsi="Arial" w:cs="Arial"/>
          <w:i w:val="0"/>
          <w:iCs w:val="0"/>
          <w:color w:val="auto"/>
          <w:sz w:val="22"/>
          <w:szCs w:val="22"/>
        </w:rPr>
        <w:fldChar w:fldCharType="begin"/>
      </w:r>
      <w:r w:rsidRPr="008468A5">
        <w:rPr>
          <w:rFonts w:ascii="Arial" w:hAnsi="Arial" w:cs="Arial"/>
          <w:i w:val="0"/>
          <w:iCs w:val="0"/>
          <w:color w:val="auto"/>
          <w:sz w:val="22"/>
          <w:szCs w:val="22"/>
        </w:rPr>
        <w:instrText xml:space="preserve"> SEQ Tabla \* ARABIC </w:instrText>
      </w:r>
      <w:r w:rsidRPr="008468A5">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14</w:t>
      </w:r>
      <w:r w:rsidRPr="008468A5">
        <w:rPr>
          <w:rFonts w:ascii="Arial" w:hAnsi="Arial" w:cs="Arial"/>
          <w:i w:val="0"/>
          <w:iCs w:val="0"/>
          <w:color w:val="auto"/>
          <w:sz w:val="22"/>
          <w:szCs w:val="22"/>
        </w:rPr>
        <w:fldChar w:fldCharType="end"/>
      </w:r>
      <w:r w:rsidR="00AD7238">
        <w:rPr>
          <w:rFonts w:ascii="Arial" w:hAnsi="Arial" w:cs="Arial"/>
          <w:i w:val="0"/>
          <w:iCs w:val="0"/>
          <w:color w:val="auto"/>
          <w:sz w:val="22"/>
          <w:szCs w:val="22"/>
        </w:rPr>
        <w:t>.</w:t>
      </w:r>
      <w:r w:rsidRPr="008468A5">
        <w:rPr>
          <w:rFonts w:ascii="Arial" w:hAnsi="Arial" w:cs="Arial"/>
          <w:i w:val="0"/>
          <w:iCs w:val="0"/>
          <w:color w:val="auto"/>
          <w:sz w:val="22"/>
          <w:szCs w:val="22"/>
        </w:rPr>
        <w:t xml:space="preserve"> Cobertura de sarampión-rubéola por cohortes de nacimiento. COOSALUD EPS, Bogotá D. C., 2025</w:t>
      </w:r>
      <w:bookmarkEnd w:id="46"/>
    </w:p>
    <w:tbl>
      <w:tblPr>
        <w:tblStyle w:val="Tablaconcuadrcula"/>
        <w:tblW w:w="0" w:type="auto"/>
        <w:jc w:val="center"/>
        <w:tblLook w:val="04A0" w:firstRow="1" w:lastRow="0" w:firstColumn="1" w:lastColumn="0" w:noHBand="0" w:noVBand="1"/>
      </w:tblPr>
      <w:tblGrid>
        <w:gridCol w:w="3069"/>
        <w:gridCol w:w="1005"/>
        <w:gridCol w:w="1692"/>
        <w:gridCol w:w="1482"/>
        <w:gridCol w:w="1580"/>
      </w:tblGrid>
      <w:tr w:rsidR="00611BA9" w:rsidRPr="00611BA9" w14:paraId="669BB3FC" w14:textId="77777777" w:rsidTr="006D51DB">
        <w:trPr>
          <w:tblHeader/>
          <w:jc w:val="center"/>
        </w:trPr>
        <w:tc>
          <w:tcPr>
            <w:tcW w:w="3069" w:type="dxa"/>
            <w:shd w:val="clear" w:color="auto" w:fill="FFFFFF" w:themeFill="background1"/>
            <w:vAlign w:val="center"/>
          </w:tcPr>
          <w:p w14:paraId="79DA2BC0"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b/>
                <w:sz w:val="22"/>
                <w:szCs w:val="22"/>
              </w:rPr>
              <w:t>Cohorte / biológico</w:t>
            </w:r>
          </w:p>
        </w:tc>
        <w:tc>
          <w:tcPr>
            <w:tcW w:w="1005" w:type="dxa"/>
            <w:shd w:val="clear" w:color="auto" w:fill="FFFFFF" w:themeFill="background1"/>
            <w:vAlign w:val="center"/>
          </w:tcPr>
          <w:p w14:paraId="41CD63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92" w:type="dxa"/>
            <w:shd w:val="clear" w:color="auto" w:fill="FFFFFF" w:themeFill="background1"/>
            <w:vAlign w:val="center"/>
          </w:tcPr>
          <w:p w14:paraId="7F67793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82" w:type="dxa"/>
            <w:shd w:val="clear" w:color="auto" w:fill="FFFFFF" w:themeFill="background1"/>
            <w:vAlign w:val="center"/>
          </w:tcPr>
          <w:p w14:paraId="3FA2BAB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c>
          <w:tcPr>
            <w:tcW w:w="1580" w:type="dxa"/>
            <w:shd w:val="clear" w:color="auto" w:fill="FFFFFF" w:themeFill="background1"/>
            <w:vAlign w:val="center"/>
          </w:tcPr>
          <w:p w14:paraId="60E259C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Susceptibles</w:t>
            </w:r>
          </w:p>
        </w:tc>
      </w:tr>
      <w:tr w:rsidR="00611BA9" w:rsidRPr="00611BA9" w14:paraId="73077554" w14:textId="77777777" w:rsidTr="008468A5">
        <w:trPr>
          <w:jc w:val="center"/>
        </w:trPr>
        <w:tc>
          <w:tcPr>
            <w:tcW w:w="3069" w:type="dxa"/>
          </w:tcPr>
          <w:p w14:paraId="7E54B25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Sarampión-rubéola, cohortes 2010–2019</w:t>
            </w:r>
          </w:p>
        </w:tc>
        <w:tc>
          <w:tcPr>
            <w:tcW w:w="1005" w:type="dxa"/>
          </w:tcPr>
          <w:p w14:paraId="1249E396"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2.624</w:t>
            </w:r>
          </w:p>
        </w:tc>
        <w:tc>
          <w:tcPr>
            <w:tcW w:w="1692" w:type="dxa"/>
          </w:tcPr>
          <w:p w14:paraId="37ACA54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2.403</w:t>
            </w:r>
          </w:p>
        </w:tc>
        <w:tc>
          <w:tcPr>
            <w:tcW w:w="1482" w:type="dxa"/>
          </w:tcPr>
          <w:p w14:paraId="754D0F3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91,6</w:t>
            </w:r>
          </w:p>
        </w:tc>
        <w:tc>
          <w:tcPr>
            <w:tcW w:w="1580" w:type="dxa"/>
          </w:tcPr>
          <w:p w14:paraId="284ED32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221</w:t>
            </w:r>
          </w:p>
        </w:tc>
      </w:tr>
    </w:tbl>
    <w:p w14:paraId="002D0284" w14:textId="77777777" w:rsidR="00611BA9" w:rsidRPr="008468A5" w:rsidRDefault="00611BA9" w:rsidP="008468A5">
      <w:pPr>
        <w:spacing w:line="360" w:lineRule="auto"/>
        <w:jc w:val="both"/>
        <w:rPr>
          <w:rFonts w:ascii="Arial" w:hAnsi="Arial" w:cs="Arial"/>
          <w:iCs/>
          <w:sz w:val="16"/>
          <w:szCs w:val="16"/>
        </w:rPr>
      </w:pPr>
      <w:r w:rsidRPr="008468A5">
        <w:rPr>
          <w:rFonts w:ascii="Arial" w:hAnsi="Arial" w:cs="Arial"/>
          <w:iCs/>
          <w:sz w:val="16"/>
          <w:szCs w:val="16"/>
        </w:rPr>
        <w:t>Fuente: Cohortes de nacimiento 2010–2019, personas activas en aplicativo PAI 2.5 de la Secretaría Distrital de Salud de Bogotá; vacunados/as registrados en aplicativo PAI 2.5, con corte a 31 de diciembre de 2025.</w:t>
      </w:r>
    </w:p>
    <w:p w14:paraId="25F65B64" w14:textId="77777777" w:rsidR="008468A5" w:rsidRPr="00611BA9" w:rsidRDefault="008468A5" w:rsidP="00611BA9">
      <w:pPr>
        <w:spacing w:line="360" w:lineRule="auto"/>
        <w:jc w:val="both"/>
        <w:rPr>
          <w:rFonts w:ascii="Arial" w:hAnsi="Arial" w:cs="Arial"/>
          <w:sz w:val="22"/>
          <w:szCs w:val="22"/>
        </w:rPr>
      </w:pPr>
    </w:p>
    <w:p w14:paraId="59C6441D"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el resultado combinado muestra una situación dual: por una parte, el refuerzo de triple viral en 18–23 meses exhibe un comportamiento favorable; por otra, la persistencia de susceptibles en las cohortes de sarampión-rubéola indica que aún existen brechas programáticas que deben cerrarse mediante búsqueda activa, depuración y cruce nominal, verificación de antecedentes vacunales, recordatorios y articulación con la red prestadora.</w:t>
      </w:r>
    </w:p>
    <w:p w14:paraId="270F9CA5" w14:textId="77777777" w:rsidR="008468A5" w:rsidRPr="00611BA9" w:rsidRDefault="008468A5" w:rsidP="00611BA9">
      <w:pPr>
        <w:spacing w:line="360" w:lineRule="auto"/>
        <w:jc w:val="both"/>
        <w:rPr>
          <w:rFonts w:ascii="Arial" w:hAnsi="Arial" w:cs="Arial"/>
          <w:sz w:val="22"/>
          <w:szCs w:val="22"/>
        </w:rPr>
      </w:pPr>
    </w:p>
    <w:p w14:paraId="262FF54A" w14:textId="02F690F8" w:rsidR="00611BA9" w:rsidRPr="008468A5" w:rsidRDefault="00611BA9" w:rsidP="008468A5">
      <w:pPr>
        <w:pStyle w:val="Ttulo2"/>
        <w:numPr>
          <w:ilvl w:val="2"/>
          <w:numId w:val="21"/>
        </w:numPr>
        <w:spacing w:before="0" w:line="360" w:lineRule="auto"/>
        <w:jc w:val="both"/>
        <w:rPr>
          <w:rFonts w:ascii="Arial" w:hAnsi="Arial" w:cs="Arial"/>
          <w:b/>
          <w:color w:val="auto"/>
          <w:sz w:val="22"/>
          <w:szCs w:val="22"/>
        </w:rPr>
      </w:pPr>
      <w:bookmarkStart w:id="47" w:name="_Toc229397849"/>
      <w:r w:rsidRPr="00611BA9">
        <w:rPr>
          <w:rFonts w:ascii="Arial" w:hAnsi="Arial" w:cs="Arial"/>
          <w:b/>
          <w:color w:val="auto"/>
          <w:sz w:val="22"/>
          <w:szCs w:val="22"/>
        </w:rPr>
        <w:t>DPT segundo refuerzo a los 5 años</w:t>
      </w:r>
      <w:bookmarkEnd w:id="47"/>
    </w:p>
    <w:p w14:paraId="2EC14E0B" w14:textId="77777777" w:rsidR="008468A5" w:rsidRDefault="008468A5" w:rsidP="00611BA9">
      <w:pPr>
        <w:spacing w:line="360" w:lineRule="auto"/>
        <w:jc w:val="both"/>
        <w:rPr>
          <w:rFonts w:ascii="Arial" w:hAnsi="Arial" w:cs="Arial"/>
          <w:sz w:val="22"/>
          <w:szCs w:val="22"/>
        </w:rPr>
      </w:pPr>
    </w:p>
    <w:p w14:paraId="18E1D733" w14:textId="48242C3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El trazador con desempeño más desfavorable dentro del bloque principal del PAI en población infantil corresponde al segundo refuerzo de DPT a los 5 años, con una cobertura de 82,0% al registrar 399 vacunados/as frente a una meta de 487. Este resultado se encuentra claramente por debajo del umbral acumulado esperado para diciembre y, por tanto, configura un incumplimiento programático que amerita seguimiento específico.</w:t>
      </w:r>
    </w:p>
    <w:p w14:paraId="4FDD8CD6" w14:textId="77777777" w:rsidR="00F079CF" w:rsidRPr="00611BA9" w:rsidRDefault="00F079CF" w:rsidP="00611BA9">
      <w:pPr>
        <w:spacing w:line="360" w:lineRule="auto"/>
        <w:jc w:val="both"/>
        <w:rPr>
          <w:rFonts w:ascii="Arial" w:hAnsi="Arial" w:cs="Arial"/>
          <w:sz w:val="22"/>
          <w:szCs w:val="22"/>
        </w:rPr>
      </w:pPr>
    </w:p>
    <w:p w14:paraId="2B0985A9"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Desde el punto de vista epidemiológico, el rezago en este refuerzo es relevante porque compromete el cierre del esquema de protección frente a difteria, tosferina y tétanos, particularmente en un grupo etario que debería ingresar a la etapa escolar con su esquema oportunamente consolidado. Las brechas en esta dosis pueden reflejar fallas en captación, dificultades de seguimiento nominal, baja adherencia de las familias al refuerzo tardío o debilidades en la demanda inducida desde la EAPB y su red prestadora.</w:t>
      </w:r>
    </w:p>
    <w:p w14:paraId="5FF5C1AB" w14:textId="77777777" w:rsidR="00F079CF" w:rsidRPr="00611BA9" w:rsidRDefault="00F079CF" w:rsidP="00611BA9">
      <w:pPr>
        <w:spacing w:line="360" w:lineRule="auto"/>
        <w:jc w:val="both"/>
        <w:rPr>
          <w:rFonts w:ascii="Arial" w:hAnsi="Arial" w:cs="Arial"/>
          <w:sz w:val="22"/>
          <w:szCs w:val="22"/>
        </w:rPr>
      </w:pPr>
    </w:p>
    <w:p w14:paraId="15705247" w14:textId="2437EF5C" w:rsidR="00611BA9" w:rsidRPr="00611BA9" w:rsidRDefault="00611BA9" w:rsidP="00CB6C8D">
      <w:pPr>
        <w:pStyle w:val="Ttulo2"/>
        <w:numPr>
          <w:ilvl w:val="2"/>
          <w:numId w:val="21"/>
        </w:numPr>
        <w:spacing w:before="0" w:line="360" w:lineRule="auto"/>
        <w:jc w:val="both"/>
        <w:rPr>
          <w:rFonts w:ascii="Arial" w:hAnsi="Arial" w:cs="Arial"/>
          <w:color w:val="auto"/>
          <w:sz w:val="22"/>
          <w:szCs w:val="22"/>
        </w:rPr>
      </w:pPr>
      <w:bookmarkStart w:id="48" w:name="_Toc229397850"/>
      <w:r w:rsidRPr="00611BA9">
        <w:rPr>
          <w:rFonts w:ascii="Arial" w:hAnsi="Arial" w:cs="Arial"/>
          <w:b/>
          <w:color w:val="auto"/>
          <w:sz w:val="22"/>
          <w:szCs w:val="22"/>
        </w:rPr>
        <w:t>Vacunación contra VPH en niños y niñas de 9 años</w:t>
      </w:r>
      <w:bookmarkEnd w:id="48"/>
    </w:p>
    <w:p w14:paraId="10316565" w14:textId="77777777" w:rsidR="000A01E8" w:rsidRDefault="000A01E8" w:rsidP="00611BA9">
      <w:pPr>
        <w:spacing w:line="360" w:lineRule="auto"/>
        <w:jc w:val="both"/>
        <w:rPr>
          <w:rFonts w:ascii="Arial" w:hAnsi="Arial" w:cs="Arial"/>
          <w:sz w:val="22"/>
          <w:szCs w:val="22"/>
        </w:rPr>
      </w:pPr>
    </w:p>
    <w:p w14:paraId="11111B94" w14:textId="31C29095"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La vacunación contra el Virus del Papiloma Humano (VPH) constituye uno de los componentes de mayor rezago en el informe de COOSALUD EPS. En niñas de 9 años, la cobertura alcanzó 46,0% (144 vacunadas de una meta de 312), mientras que en niños de 9 años fue de 38,0% (112 vacunados de 295). Ambas coberturas están muy por debajo del umbral de 95% recomendado, lo que configura una brecha programática significativa.</w:t>
      </w:r>
    </w:p>
    <w:p w14:paraId="2080E075" w14:textId="77777777" w:rsidR="000A01E8" w:rsidRPr="00611BA9" w:rsidRDefault="000A01E8" w:rsidP="00611BA9">
      <w:pPr>
        <w:spacing w:line="360" w:lineRule="auto"/>
        <w:jc w:val="both"/>
        <w:rPr>
          <w:rFonts w:ascii="Arial" w:hAnsi="Arial" w:cs="Arial"/>
          <w:sz w:val="22"/>
          <w:szCs w:val="22"/>
        </w:rPr>
      </w:pPr>
    </w:p>
    <w:p w14:paraId="585BAF91"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Este rezago es relevante no solo por la magnitud de la brecha, sino por sus implicaciones de mediano y largo plazo en la prevención de enfermedades asociadas al VPH. La </w:t>
      </w:r>
      <w:r w:rsidRPr="00611BA9">
        <w:rPr>
          <w:rFonts w:ascii="Arial" w:hAnsi="Arial" w:cs="Arial"/>
          <w:sz w:val="22"/>
          <w:szCs w:val="22"/>
        </w:rPr>
        <w:lastRenderedPageBreak/>
        <w:t>insuficiente captación de población susceptible limita la protección individual y poblacional y sugiere fallas en búsqueda activa, articulación territorial, demanda inducida y posicionamiento del PAI.</w:t>
      </w:r>
    </w:p>
    <w:p w14:paraId="7672EB87" w14:textId="77777777" w:rsidR="000A01E8" w:rsidRPr="00611BA9" w:rsidRDefault="000A01E8" w:rsidP="00611BA9">
      <w:pPr>
        <w:spacing w:line="360" w:lineRule="auto"/>
        <w:jc w:val="both"/>
        <w:rPr>
          <w:rFonts w:ascii="Arial" w:hAnsi="Arial" w:cs="Arial"/>
          <w:sz w:val="22"/>
          <w:szCs w:val="22"/>
        </w:rPr>
      </w:pPr>
    </w:p>
    <w:p w14:paraId="506B2D5C" w14:textId="52E70E21" w:rsidR="00611BA9" w:rsidRPr="00CB6C8D" w:rsidRDefault="00611BA9" w:rsidP="00CB6C8D">
      <w:pPr>
        <w:pStyle w:val="Ttulo2"/>
        <w:numPr>
          <w:ilvl w:val="2"/>
          <w:numId w:val="21"/>
        </w:numPr>
        <w:spacing w:before="0" w:line="360" w:lineRule="auto"/>
        <w:jc w:val="both"/>
        <w:rPr>
          <w:rFonts w:ascii="Arial" w:hAnsi="Arial" w:cs="Arial"/>
          <w:b/>
          <w:color w:val="auto"/>
          <w:sz w:val="22"/>
          <w:szCs w:val="22"/>
        </w:rPr>
      </w:pPr>
      <w:bookmarkStart w:id="49" w:name="_Toc229397851"/>
      <w:r w:rsidRPr="00611BA9">
        <w:rPr>
          <w:rFonts w:ascii="Arial" w:hAnsi="Arial" w:cs="Arial"/>
          <w:b/>
          <w:color w:val="auto"/>
          <w:sz w:val="22"/>
          <w:szCs w:val="22"/>
        </w:rPr>
        <w:t>Vacunación contra influenza: señal de riesgo respiratorio en grupos priorizados</w:t>
      </w:r>
      <w:bookmarkEnd w:id="49"/>
    </w:p>
    <w:p w14:paraId="3534804A" w14:textId="77777777" w:rsidR="00CB6C8D" w:rsidRDefault="00CB6C8D" w:rsidP="00611BA9">
      <w:pPr>
        <w:spacing w:line="360" w:lineRule="auto"/>
        <w:jc w:val="both"/>
        <w:rPr>
          <w:rFonts w:ascii="Arial" w:hAnsi="Arial" w:cs="Arial"/>
          <w:sz w:val="22"/>
          <w:szCs w:val="22"/>
        </w:rPr>
      </w:pPr>
    </w:p>
    <w:p w14:paraId="3AB7FA8A" w14:textId="0515ED12"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El informe señala expresamente que el contexto epidemiológico de Bogotá D. C. durante 2025 estuvo marcado por el aumento del riesgo de morbilidad y mortalidad asociado a las Enfermedades Respiratorias Agudas (ERA), motivo por el cual la vacunación contra influenza adquiere un valor estratégico en la mitigación del riesgo clínico.</w:t>
      </w:r>
    </w:p>
    <w:p w14:paraId="3F92EAF5" w14:textId="77777777" w:rsidR="003E7BF4" w:rsidRDefault="003E7BF4" w:rsidP="00611BA9">
      <w:pPr>
        <w:spacing w:line="360" w:lineRule="auto"/>
        <w:jc w:val="both"/>
        <w:rPr>
          <w:rFonts w:ascii="Arial" w:hAnsi="Arial" w:cs="Arial"/>
          <w:sz w:val="22"/>
          <w:szCs w:val="22"/>
        </w:rPr>
      </w:pPr>
    </w:p>
    <w:p w14:paraId="4CAD7108" w14:textId="77777777" w:rsidR="003E7BF4" w:rsidRDefault="003E7BF4" w:rsidP="00611BA9">
      <w:pPr>
        <w:spacing w:line="360" w:lineRule="auto"/>
        <w:jc w:val="both"/>
        <w:rPr>
          <w:rFonts w:ascii="Arial" w:hAnsi="Arial" w:cs="Arial"/>
          <w:sz w:val="22"/>
          <w:szCs w:val="22"/>
        </w:rPr>
      </w:pPr>
    </w:p>
    <w:p w14:paraId="14A97CEF" w14:textId="77777777" w:rsidR="003E7BF4" w:rsidRPr="00611BA9" w:rsidRDefault="003E7BF4" w:rsidP="00611BA9">
      <w:pPr>
        <w:spacing w:line="360" w:lineRule="auto"/>
        <w:jc w:val="both"/>
        <w:rPr>
          <w:rFonts w:ascii="Arial" w:hAnsi="Arial" w:cs="Arial"/>
          <w:sz w:val="22"/>
          <w:szCs w:val="22"/>
        </w:rPr>
      </w:pPr>
    </w:p>
    <w:p w14:paraId="3F134AFD" w14:textId="5E9B7243" w:rsidR="00611BA9" w:rsidRPr="00611BA9" w:rsidRDefault="00611BA9" w:rsidP="00CB6C8D">
      <w:r w:rsidRPr="00611BA9">
        <w:t xml:space="preserve"> </w:t>
      </w:r>
    </w:p>
    <w:p w14:paraId="6DCF01F6" w14:textId="0F733D71" w:rsidR="00CB6C8D" w:rsidRDefault="00CB6C8D" w:rsidP="00CB6C8D">
      <w:pPr>
        <w:pStyle w:val="Descripcin"/>
        <w:keepNext/>
        <w:rPr>
          <w:rFonts w:ascii="Arial" w:hAnsi="Arial" w:cs="Arial"/>
          <w:i w:val="0"/>
          <w:iCs w:val="0"/>
          <w:color w:val="auto"/>
          <w:sz w:val="22"/>
          <w:szCs w:val="22"/>
        </w:rPr>
      </w:pPr>
      <w:bookmarkStart w:id="50" w:name="_Toc229395872"/>
      <w:r w:rsidRPr="00CB6C8D">
        <w:rPr>
          <w:rFonts w:ascii="Arial" w:hAnsi="Arial" w:cs="Arial"/>
          <w:i w:val="0"/>
          <w:iCs w:val="0"/>
          <w:color w:val="auto"/>
          <w:sz w:val="22"/>
          <w:szCs w:val="22"/>
        </w:rPr>
        <w:t xml:space="preserve">Tabla </w:t>
      </w:r>
      <w:r w:rsidRPr="00CB6C8D">
        <w:rPr>
          <w:rFonts w:ascii="Arial" w:hAnsi="Arial" w:cs="Arial"/>
          <w:i w:val="0"/>
          <w:iCs w:val="0"/>
          <w:color w:val="auto"/>
          <w:sz w:val="22"/>
          <w:szCs w:val="22"/>
        </w:rPr>
        <w:fldChar w:fldCharType="begin"/>
      </w:r>
      <w:r w:rsidRPr="00CB6C8D">
        <w:rPr>
          <w:rFonts w:ascii="Arial" w:hAnsi="Arial" w:cs="Arial"/>
          <w:i w:val="0"/>
          <w:iCs w:val="0"/>
          <w:color w:val="auto"/>
          <w:sz w:val="22"/>
          <w:szCs w:val="22"/>
        </w:rPr>
        <w:instrText xml:space="preserve"> SEQ Tabla \* ARABIC </w:instrText>
      </w:r>
      <w:r w:rsidRPr="00CB6C8D">
        <w:rPr>
          <w:rFonts w:ascii="Arial" w:hAnsi="Arial" w:cs="Arial"/>
          <w:i w:val="0"/>
          <w:iCs w:val="0"/>
          <w:color w:val="auto"/>
          <w:sz w:val="22"/>
          <w:szCs w:val="22"/>
        </w:rPr>
        <w:fldChar w:fldCharType="separate"/>
      </w:r>
      <w:r w:rsidRPr="00CB6C8D">
        <w:rPr>
          <w:rFonts w:ascii="Arial" w:hAnsi="Arial" w:cs="Arial"/>
          <w:i w:val="0"/>
          <w:iCs w:val="0"/>
          <w:noProof/>
          <w:color w:val="auto"/>
          <w:sz w:val="22"/>
          <w:szCs w:val="22"/>
        </w:rPr>
        <w:t>15</w:t>
      </w:r>
      <w:r w:rsidRPr="00CB6C8D">
        <w:rPr>
          <w:rFonts w:ascii="Arial" w:hAnsi="Arial" w:cs="Arial"/>
          <w:i w:val="0"/>
          <w:iCs w:val="0"/>
          <w:color w:val="auto"/>
          <w:sz w:val="22"/>
          <w:szCs w:val="22"/>
        </w:rPr>
        <w:fldChar w:fldCharType="end"/>
      </w:r>
      <w:r w:rsidR="00FE6EF4">
        <w:rPr>
          <w:rFonts w:ascii="Arial" w:hAnsi="Arial" w:cs="Arial"/>
          <w:i w:val="0"/>
          <w:iCs w:val="0"/>
          <w:color w:val="auto"/>
          <w:sz w:val="22"/>
          <w:szCs w:val="22"/>
        </w:rPr>
        <w:t>.</w:t>
      </w:r>
      <w:r w:rsidRPr="00CB6C8D">
        <w:rPr>
          <w:rFonts w:ascii="Arial" w:hAnsi="Arial" w:cs="Arial"/>
          <w:i w:val="0"/>
          <w:iCs w:val="0"/>
          <w:color w:val="auto"/>
          <w:sz w:val="22"/>
          <w:szCs w:val="22"/>
        </w:rPr>
        <w:t xml:space="preserve"> Vacunación contra influenza cepa sur. COOSALUD EPS, Bogotá D. C., 2025</w:t>
      </w:r>
      <w:bookmarkEnd w:id="50"/>
    </w:p>
    <w:p w14:paraId="2AD30E46" w14:textId="4C70C2C6" w:rsidR="00CB6C8D" w:rsidRPr="00CB6C8D" w:rsidRDefault="00CB6C8D" w:rsidP="00CB6C8D"/>
    <w:tbl>
      <w:tblPr>
        <w:tblStyle w:val="Tablaconcuadrcula"/>
        <w:tblW w:w="0" w:type="auto"/>
        <w:jc w:val="center"/>
        <w:tblLook w:val="04A0" w:firstRow="1" w:lastRow="0" w:firstColumn="1" w:lastColumn="0" w:noHBand="0" w:noVBand="1"/>
      </w:tblPr>
      <w:tblGrid>
        <w:gridCol w:w="3195"/>
        <w:gridCol w:w="1508"/>
        <w:gridCol w:w="999"/>
        <w:gridCol w:w="1684"/>
        <w:gridCol w:w="1442"/>
      </w:tblGrid>
      <w:tr w:rsidR="00611BA9" w:rsidRPr="00611BA9" w14:paraId="0FFAE28B" w14:textId="77777777" w:rsidTr="006D51DB">
        <w:trPr>
          <w:tblHeader/>
          <w:jc w:val="center"/>
        </w:trPr>
        <w:tc>
          <w:tcPr>
            <w:tcW w:w="3195" w:type="dxa"/>
            <w:shd w:val="clear" w:color="auto" w:fill="FFFFFF" w:themeFill="background1"/>
            <w:vAlign w:val="center"/>
          </w:tcPr>
          <w:p w14:paraId="623090F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Grupo poblacional / estrategia</w:t>
            </w:r>
          </w:p>
        </w:tc>
        <w:tc>
          <w:tcPr>
            <w:tcW w:w="1508" w:type="dxa"/>
            <w:shd w:val="clear" w:color="auto" w:fill="FFFFFF" w:themeFill="background1"/>
            <w:vAlign w:val="center"/>
          </w:tcPr>
          <w:p w14:paraId="7C374C3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Tipo de dosis</w:t>
            </w:r>
          </w:p>
        </w:tc>
        <w:tc>
          <w:tcPr>
            <w:tcW w:w="999" w:type="dxa"/>
            <w:shd w:val="clear" w:color="auto" w:fill="FFFFFF" w:themeFill="background1"/>
            <w:vAlign w:val="center"/>
          </w:tcPr>
          <w:p w14:paraId="7074DCE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84" w:type="dxa"/>
            <w:shd w:val="clear" w:color="auto" w:fill="FFFFFF" w:themeFill="background1"/>
            <w:vAlign w:val="center"/>
          </w:tcPr>
          <w:p w14:paraId="4E4BB02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42" w:type="dxa"/>
            <w:shd w:val="clear" w:color="auto" w:fill="FFFFFF" w:themeFill="background1"/>
            <w:vAlign w:val="center"/>
          </w:tcPr>
          <w:p w14:paraId="48B2D75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r>
      <w:tr w:rsidR="00611BA9" w:rsidRPr="00611BA9" w14:paraId="51457824" w14:textId="77777777" w:rsidTr="00CB6C8D">
        <w:trPr>
          <w:jc w:val="center"/>
        </w:trPr>
        <w:tc>
          <w:tcPr>
            <w:tcW w:w="3195" w:type="dxa"/>
          </w:tcPr>
          <w:p w14:paraId="26D1B71A"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566A3AA8"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4459338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2D1B46A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442" w:type="dxa"/>
          </w:tcPr>
          <w:p w14:paraId="0A71F80B" w14:textId="240237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3879DB4A" w14:textId="77777777" w:rsidTr="00CB6C8D">
        <w:trPr>
          <w:jc w:val="center"/>
        </w:trPr>
        <w:tc>
          <w:tcPr>
            <w:tcW w:w="3195" w:type="dxa"/>
          </w:tcPr>
          <w:p w14:paraId="711ED51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46E2CA2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0571DD2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7C3E411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305</w:t>
            </w:r>
          </w:p>
        </w:tc>
        <w:tc>
          <w:tcPr>
            <w:tcW w:w="1442" w:type="dxa"/>
          </w:tcPr>
          <w:p w14:paraId="7B52F47A" w14:textId="7058C8D1"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69</w:t>
            </w:r>
          </w:p>
        </w:tc>
      </w:tr>
      <w:tr w:rsidR="00611BA9" w:rsidRPr="00611BA9" w14:paraId="1D47A0B7" w14:textId="77777777" w:rsidTr="00CB6C8D">
        <w:trPr>
          <w:jc w:val="center"/>
        </w:trPr>
        <w:tc>
          <w:tcPr>
            <w:tcW w:w="3195" w:type="dxa"/>
          </w:tcPr>
          <w:p w14:paraId="35DE802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3E7ED1B"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637FE57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3C9323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442" w:type="dxa"/>
          </w:tcPr>
          <w:p w14:paraId="73C30FF2" w14:textId="057E4F4B"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15F5DBFF" w14:textId="77777777" w:rsidTr="00CB6C8D">
        <w:trPr>
          <w:jc w:val="center"/>
        </w:trPr>
        <w:tc>
          <w:tcPr>
            <w:tcW w:w="3195" w:type="dxa"/>
          </w:tcPr>
          <w:p w14:paraId="5FED523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2E78CC1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6B3B928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677254D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115</w:t>
            </w:r>
          </w:p>
        </w:tc>
        <w:tc>
          <w:tcPr>
            <w:tcW w:w="1442" w:type="dxa"/>
          </w:tcPr>
          <w:p w14:paraId="282E5EC1" w14:textId="7F2E0214"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80</w:t>
            </w:r>
          </w:p>
        </w:tc>
      </w:tr>
      <w:tr w:rsidR="00611BA9" w:rsidRPr="00611BA9" w14:paraId="3E0D722D" w14:textId="77777777" w:rsidTr="00CB6C8D">
        <w:trPr>
          <w:jc w:val="center"/>
        </w:trPr>
        <w:tc>
          <w:tcPr>
            <w:tcW w:w="3195" w:type="dxa"/>
          </w:tcPr>
          <w:p w14:paraId="14057CD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193D8B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Dosis única</w:t>
            </w:r>
          </w:p>
        </w:tc>
        <w:tc>
          <w:tcPr>
            <w:tcW w:w="999" w:type="dxa"/>
          </w:tcPr>
          <w:p w14:paraId="0FEEBC2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281</w:t>
            </w:r>
          </w:p>
        </w:tc>
        <w:tc>
          <w:tcPr>
            <w:tcW w:w="1684" w:type="dxa"/>
          </w:tcPr>
          <w:p w14:paraId="54B5EB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277</w:t>
            </w:r>
          </w:p>
        </w:tc>
        <w:tc>
          <w:tcPr>
            <w:tcW w:w="1442" w:type="dxa"/>
          </w:tcPr>
          <w:p w14:paraId="6210EAD2" w14:textId="1EDDF3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98</w:t>
            </w:r>
          </w:p>
        </w:tc>
      </w:tr>
      <w:tr w:rsidR="00611BA9" w:rsidRPr="00611BA9" w14:paraId="5C210D67" w14:textId="77777777" w:rsidTr="00CB6C8D">
        <w:trPr>
          <w:jc w:val="center"/>
        </w:trPr>
        <w:tc>
          <w:tcPr>
            <w:tcW w:w="3195" w:type="dxa"/>
          </w:tcPr>
          <w:p w14:paraId="24E1F3C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Adulto de 60 años y más</w:t>
            </w:r>
          </w:p>
        </w:tc>
        <w:tc>
          <w:tcPr>
            <w:tcW w:w="1508" w:type="dxa"/>
          </w:tcPr>
          <w:p w14:paraId="0B52D5F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03E6498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915</w:t>
            </w:r>
          </w:p>
        </w:tc>
        <w:tc>
          <w:tcPr>
            <w:tcW w:w="1684" w:type="dxa"/>
          </w:tcPr>
          <w:p w14:paraId="34A09F9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628</w:t>
            </w:r>
          </w:p>
        </w:tc>
        <w:tc>
          <w:tcPr>
            <w:tcW w:w="1442" w:type="dxa"/>
          </w:tcPr>
          <w:p w14:paraId="1117E10B" w14:textId="321C43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68</w:t>
            </w:r>
          </w:p>
        </w:tc>
      </w:tr>
      <w:tr w:rsidR="00611BA9" w:rsidRPr="00611BA9" w14:paraId="795EB75F" w14:textId="77777777" w:rsidTr="00CB6C8D">
        <w:trPr>
          <w:jc w:val="center"/>
        </w:trPr>
        <w:tc>
          <w:tcPr>
            <w:tcW w:w="3195" w:type="dxa"/>
          </w:tcPr>
          <w:p w14:paraId="7B0C214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Personas con patología crónica</w:t>
            </w:r>
          </w:p>
        </w:tc>
        <w:tc>
          <w:tcPr>
            <w:tcW w:w="1508" w:type="dxa"/>
          </w:tcPr>
          <w:p w14:paraId="1B657A1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1F0A4B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684" w:type="dxa"/>
          </w:tcPr>
          <w:p w14:paraId="68FC8AD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442" w:type="dxa"/>
          </w:tcPr>
          <w:p w14:paraId="3B66FF58" w14:textId="6F8880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7F13C59B" w14:textId="77777777" w:rsidTr="00CB6C8D">
        <w:trPr>
          <w:jc w:val="center"/>
        </w:trPr>
        <w:tc>
          <w:tcPr>
            <w:tcW w:w="3195" w:type="dxa"/>
          </w:tcPr>
          <w:p w14:paraId="41ADA0A3"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Gestantes</w:t>
            </w:r>
          </w:p>
        </w:tc>
        <w:tc>
          <w:tcPr>
            <w:tcW w:w="1508" w:type="dxa"/>
          </w:tcPr>
          <w:p w14:paraId="3CF8610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estacional</w:t>
            </w:r>
          </w:p>
        </w:tc>
        <w:tc>
          <w:tcPr>
            <w:tcW w:w="999" w:type="dxa"/>
          </w:tcPr>
          <w:p w14:paraId="1FB0601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684" w:type="dxa"/>
          </w:tcPr>
          <w:p w14:paraId="4C63B59D"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442" w:type="dxa"/>
          </w:tcPr>
          <w:p w14:paraId="283B1EA7" w14:textId="60741B93"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bl>
    <w:p w14:paraId="3490BC74" w14:textId="77777777" w:rsidR="00611BA9" w:rsidRPr="00B6508E" w:rsidRDefault="00611BA9" w:rsidP="00611BA9">
      <w:pPr>
        <w:spacing w:line="360" w:lineRule="auto"/>
        <w:jc w:val="both"/>
        <w:rPr>
          <w:rFonts w:ascii="Arial" w:hAnsi="Arial" w:cs="Arial"/>
          <w:iCs/>
          <w:sz w:val="16"/>
          <w:szCs w:val="16"/>
        </w:rPr>
      </w:pPr>
      <w:r w:rsidRPr="00B6508E">
        <w:rPr>
          <w:rFonts w:ascii="Arial" w:hAnsi="Arial" w:cs="Arial"/>
          <w:iCs/>
          <w:sz w:val="16"/>
          <w:szCs w:val="16"/>
        </w:rPr>
        <w:lastRenderedPageBreak/>
        <w:t>Fuentes: Tablero de control para vacunación influenza abril-diciembre de 2025; Aplicativo PAI 2.5 SDS; Sistema de Información PAI; Secretaría Distrital de Salud, Bogotá, abril-diciembre de 2025.</w:t>
      </w:r>
    </w:p>
    <w:p w14:paraId="3F340A2F" w14:textId="77777777" w:rsidR="007F32D5" w:rsidRPr="00611BA9" w:rsidRDefault="007F32D5" w:rsidP="00611BA9">
      <w:pPr>
        <w:spacing w:line="360" w:lineRule="auto"/>
        <w:jc w:val="both"/>
        <w:rPr>
          <w:rFonts w:ascii="Arial" w:hAnsi="Arial" w:cs="Arial"/>
          <w:sz w:val="22"/>
          <w:szCs w:val="22"/>
        </w:rPr>
      </w:pPr>
    </w:p>
    <w:p w14:paraId="2F9A6C68"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COOSALUD EPS alcanzó coberturas satisfactorias en la primera dosis para menores de un año (100,0%), así como coberturas altas o completas en la dosis única para niños/as de un año (98,4%), en población con patología crónica (100,0%) y en gestantes (100,0%).</w:t>
      </w:r>
    </w:p>
    <w:p w14:paraId="64FB8223" w14:textId="77777777" w:rsidR="007F32D5" w:rsidRPr="00611BA9" w:rsidRDefault="007F32D5" w:rsidP="00611BA9">
      <w:pPr>
        <w:spacing w:line="360" w:lineRule="auto"/>
        <w:jc w:val="both"/>
        <w:rPr>
          <w:rFonts w:ascii="Arial" w:hAnsi="Arial" w:cs="Arial"/>
          <w:sz w:val="22"/>
          <w:szCs w:val="22"/>
        </w:rPr>
      </w:pPr>
    </w:p>
    <w:p w14:paraId="523DA972" w14:textId="3B327AD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Sin embargo, persisten brechas relevantes en la segunda dosis de menores de un año (69%), en la segunda dosis del grupo de un año / PAI a administrar (80,0%) y en la población adulta de 60 años y más (68%). Estas brechas son epidemiológicamente sensibles, por cuanto comprometen la protección de grupos con mayor vulnerabilidad frente a infecciones respiratorias y pueden traducirse en mayor carga de enfermedad, complicaciones y presión asistencial.</w:t>
      </w:r>
    </w:p>
    <w:p w14:paraId="6DBEF9D6" w14:textId="77777777" w:rsidR="00352E9D" w:rsidRPr="00611BA9" w:rsidRDefault="00352E9D" w:rsidP="00611BA9">
      <w:pPr>
        <w:spacing w:line="360" w:lineRule="auto"/>
        <w:jc w:val="both"/>
        <w:rPr>
          <w:rFonts w:ascii="Arial" w:hAnsi="Arial" w:cs="Arial"/>
          <w:sz w:val="22"/>
          <w:szCs w:val="22"/>
        </w:rPr>
      </w:pPr>
    </w:p>
    <w:p w14:paraId="7FE1FECD" w14:textId="7F1FBC97" w:rsidR="00611BA9" w:rsidRPr="002F22FF" w:rsidRDefault="00611BA9" w:rsidP="002F22FF">
      <w:pPr>
        <w:pStyle w:val="Ttulo2"/>
        <w:numPr>
          <w:ilvl w:val="2"/>
          <w:numId w:val="21"/>
        </w:numPr>
        <w:spacing w:before="0" w:line="360" w:lineRule="auto"/>
        <w:jc w:val="both"/>
        <w:rPr>
          <w:rFonts w:ascii="Arial" w:hAnsi="Arial" w:cs="Arial"/>
          <w:b/>
          <w:color w:val="auto"/>
          <w:sz w:val="22"/>
          <w:szCs w:val="22"/>
        </w:rPr>
      </w:pPr>
      <w:bookmarkStart w:id="51" w:name="_Toc229397852"/>
      <w:r w:rsidRPr="00611BA9">
        <w:rPr>
          <w:rFonts w:ascii="Arial" w:hAnsi="Arial" w:cs="Arial"/>
          <w:b/>
          <w:color w:val="auto"/>
          <w:sz w:val="22"/>
          <w:szCs w:val="22"/>
        </w:rPr>
        <w:t>Vacunación contra sarampión-rubéola</w:t>
      </w:r>
      <w:bookmarkEnd w:id="51"/>
    </w:p>
    <w:p w14:paraId="72AF7132" w14:textId="77777777" w:rsidR="002F22FF" w:rsidRDefault="002F22FF" w:rsidP="00611BA9">
      <w:pPr>
        <w:spacing w:line="360" w:lineRule="auto"/>
        <w:jc w:val="both"/>
        <w:rPr>
          <w:rFonts w:ascii="Arial" w:hAnsi="Arial" w:cs="Arial"/>
          <w:sz w:val="22"/>
          <w:szCs w:val="22"/>
        </w:rPr>
      </w:pPr>
    </w:p>
    <w:p w14:paraId="1BF906EB" w14:textId="49EF0C15"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La vacunación contra sarampión-rubéola en las cohortes de nacimiento 2010–2019 registró una cobertura de 91,6%, con 2.403 personas vacunadas frente a una meta de 2.624 y un total de 221 susceptibles pendientes por captar. Este resultado, aunque alto, permanece por debajo del 95% requerido para asegurar una protección homogénea y avanzar en la interrupción de la transmisión.</w:t>
      </w:r>
    </w:p>
    <w:p w14:paraId="3B8B365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intensificar la búsqueda activa y la captación efectiva de la población pendiente mediante depuración y cruce nominal, georreferenciación de rezagos, verificación de antecedentes vacunales, activación de recordatorios y articulación con la red prestadora, de modo que durante 2026 se cierre la brecha residual y se consolide un comportamiento más robusto del trazador.</w:t>
      </w:r>
    </w:p>
    <w:p w14:paraId="15626432" w14:textId="77777777" w:rsidR="00611BA9" w:rsidRPr="00611BA9" w:rsidRDefault="00611BA9" w:rsidP="00611BA9">
      <w:pPr>
        <w:spacing w:line="360" w:lineRule="auto"/>
        <w:jc w:val="both"/>
        <w:rPr>
          <w:rFonts w:ascii="Arial" w:hAnsi="Arial" w:cs="Arial"/>
          <w:sz w:val="22"/>
          <w:szCs w:val="22"/>
        </w:rPr>
      </w:pPr>
    </w:p>
    <w:p w14:paraId="32526653" w14:textId="59F9BF92" w:rsidR="007E7282" w:rsidRDefault="004C6CBB" w:rsidP="00611BA9">
      <w:pPr>
        <w:spacing w:line="360" w:lineRule="auto"/>
        <w:jc w:val="both"/>
        <w:rPr>
          <w:rFonts w:ascii="Arial" w:hAnsi="Arial" w:cs="Arial"/>
          <w:sz w:val="22"/>
          <w:szCs w:val="22"/>
        </w:rPr>
      </w:pPr>
      <w:r w:rsidRPr="004C6CBB">
        <w:rPr>
          <w:rFonts w:ascii="Arial" w:hAnsi="Arial" w:cs="Arial"/>
          <w:sz w:val="22"/>
          <w:szCs w:val="22"/>
        </w:rPr>
        <w:t xml:space="preserve">En conjunto, el comportamiento de las coberturas de vacunación de COOSALUD EPS durante 2025 muestra avances parciales en algunos trazadores del esquema permanente infantil, particularmente en triple viral de 1 año, refuerzo de triple viral entre los 18 y 23 meses, pentavalente y fiebre amarilla en el mismo grupo etario. Sin embargo, estos resultados favorables no compensan las brechas programáticas aún persistentes en biológicos y cohortes estratégicas para la protección colectiva. En especial, el rezago en el segundo refuerzo de DPT a los 5 años, las bajas coberturas en VPH, la insuficiencia en </w:t>
      </w:r>
      <w:r w:rsidRPr="004C6CBB">
        <w:rPr>
          <w:rFonts w:ascii="Arial" w:hAnsi="Arial" w:cs="Arial"/>
          <w:sz w:val="22"/>
          <w:szCs w:val="22"/>
        </w:rPr>
        <w:lastRenderedPageBreak/>
        <w:t xml:space="preserve">influenza —particularmente en segundas dosis y en población adulta mayor— y la permanencia de susceptibles en sarampión-rubéola evidencian dificultades en el cierre oportuno de esquemas, en la captación efectiva de la población objetivo y en la consolidación de coberturas homogéneas. </w:t>
      </w:r>
    </w:p>
    <w:p w14:paraId="0C36909C" w14:textId="77777777" w:rsidR="004C6CBB" w:rsidRPr="00611BA9" w:rsidRDefault="004C6CBB" w:rsidP="00611BA9">
      <w:pPr>
        <w:spacing w:line="360" w:lineRule="auto"/>
        <w:jc w:val="both"/>
        <w:rPr>
          <w:rFonts w:ascii="Arial" w:hAnsi="Arial" w:cs="Arial"/>
          <w:sz w:val="22"/>
          <w:szCs w:val="22"/>
        </w:rPr>
      </w:pPr>
    </w:p>
    <w:p w14:paraId="1875297F" w14:textId="77777777" w:rsidR="00905226"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Por tanto, el riesgo vacunal agregado para la población afiliada de COOSALUD EPS en Bogotá D. C. no se explica por un colapso generalizado del programa, sino por la persistencia de rezagos en biológicos y cohortes críticas que afectan el cierre oportuno de esquemas, mantienen susceptibles acumulados y aumentan la vulnerabilidad en grupos priorizados. </w:t>
      </w:r>
    </w:p>
    <w:p w14:paraId="785B99ED" w14:textId="77777777" w:rsidR="00905226" w:rsidRDefault="00905226" w:rsidP="00611BA9">
      <w:pPr>
        <w:spacing w:line="360" w:lineRule="auto"/>
        <w:jc w:val="both"/>
        <w:rPr>
          <w:rFonts w:ascii="Arial" w:hAnsi="Arial" w:cs="Arial"/>
          <w:sz w:val="22"/>
          <w:szCs w:val="22"/>
        </w:rPr>
      </w:pPr>
    </w:p>
    <w:p w14:paraId="659CAFBA" w14:textId="61C5B272"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fortalecer la búsqueda activa, la captación efectiva, la depuración y validación nominal de cohortes, el seguimiento territorial y la evaluación del plan de acción de vacunación para la vigencia 2026, con el fin de reducir brechas y asegurar resultados más homogéneos y sostenibles en la garantía del derecho a la salud.</w:t>
      </w:r>
    </w:p>
    <w:p w14:paraId="58B3DD3D" w14:textId="77777777" w:rsidR="00905226" w:rsidRDefault="00905226" w:rsidP="006068A2">
      <w:pPr>
        <w:spacing w:line="360" w:lineRule="auto"/>
        <w:jc w:val="both"/>
        <w:rPr>
          <w:rFonts w:ascii="Arial" w:hAnsi="Arial" w:cs="Arial"/>
          <w:sz w:val="22"/>
          <w:szCs w:val="22"/>
        </w:rPr>
      </w:pPr>
    </w:p>
    <w:p w14:paraId="474B6B75" w14:textId="479CE595" w:rsidR="000C4AE0" w:rsidRPr="006068A2" w:rsidRDefault="00990A20" w:rsidP="004D7781">
      <w:pPr>
        <w:pStyle w:val="Ttulo1"/>
        <w:numPr>
          <w:ilvl w:val="0"/>
          <w:numId w:val="9"/>
        </w:numPr>
        <w:spacing w:before="0" w:line="360" w:lineRule="auto"/>
        <w:jc w:val="both"/>
        <w:rPr>
          <w:rFonts w:ascii="Arial" w:hAnsi="Arial" w:cs="Arial"/>
          <w:b/>
          <w:bCs/>
          <w:color w:val="auto"/>
          <w:sz w:val="22"/>
          <w:szCs w:val="22"/>
          <w:lang w:val="es-ES"/>
        </w:rPr>
      </w:pPr>
      <w:bookmarkStart w:id="52" w:name="_Toc229397853"/>
      <w:r w:rsidRPr="006068A2">
        <w:rPr>
          <w:rFonts w:ascii="Arial" w:hAnsi="Arial" w:cs="Arial"/>
          <w:b/>
          <w:bCs/>
          <w:color w:val="auto"/>
          <w:sz w:val="22"/>
          <w:szCs w:val="22"/>
          <w:lang w:val="es-ES"/>
        </w:rPr>
        <w:t>RED PRESTADORA Y CAPACIDAD INSTALADA</w:t>
      </w:r>
      <w:bookmarkEnd w:id="52"/>
    </w:p>
    <w:p w14:paraId="2C008688" w14:textId="77777777" w:rsidR="00D06292" w:rsidRPr="006068A2" w:rsidRDefault="00D06292" w:rsidP="006068A2">
      <w:pPr>
        <w:spacing w:line="360" w:lineRule="auto"/>
        <w:jc w:val="both"/>
        <w:rPr>
          <w:rFonts w:ascii="Arial" w:hAnsi="Arial" w:cs="Arial"/>
          <w:sz w:val="22"/>
          <w:szCs w:val="22"/>
        </w:rPr>
      </w:pPr>
      <w:bookmarkStart w:id="53" w:name="OLE_LINK12"/>
    </w:p>
    <w:p w14:paraId="74980221" w14:textId="79E2F37B" w:rsidR="00214929" w:rsidRPr="006068A2" w:rsidRDefault="2A86345B" w:rsidP="004D7781">
      <w:pPr>
        <w:pStyle w:val="Ttulo2"/>
        <w:numPr>
          <w:ilvl w:val="1"/>
          <w:numId w:val="9"/>
        </w:numPr>
        <w:spacing w:before="0" w:line="360" w:lineRule="auto"/>
        <w:jc w:val="both"/>
        <w:rPr>
          <w:rFonts w:ascii="Arial" w:hAnsi="Arial" w:cs="Arial"/>
          <w:b/>
          <w:bCs/>
          <w:color w:val="auto"/>
          <w:sz w:val="22"/>
          <w:szCs w:val="22"/>
        </w:rPr>
      </w:pPr>
      <w:r w:rsidRPr="006068A2">
        <w:rPr>
          <w:rFonts w:ascii="Arial" w:eastAsia="Arial" w:hAnsi="Arial" w:cs="Arial"/>
          <w:color w:val="000000" w:themeColor="text1"/>
          <w:sz w:val="22"/>
          <w:szCs w:val="22"/>
          <w:lang w:val="es"/>
        </w:rPr>
        <w:t xml:space="preserve"> </w:t>
      </w:r>
      <w:bookmarkStart w:id="54" w:name="_Toc229397854"/>
      <w:r w:rsidR="1E9276BE" w:rsidRPr="006068A2">
        <w:rPr>
          <w:rFonts w:ascii="Arial" w:hAnsi="Arial" w:cs="Arial"/>
          <w:b/>
          <w:bCs/>
          <w:color w:val="auto"/>
          <w:sz w:val="22"/>
          <w:szCs w:val="22"/>
        </w:rPr>
        <w:t>Análisis</w:t>
      </w:r>
      <w:r w:rsidR="78311935" w:rsidRPr="006068A2">
        <w:rPr>
          <w:rFonts w:ascii="Arial" w:hAnsi="Arial" w:cs="Arial"/>
          <w:b/>
          <w:bCs/>
          <w:color w:val="auto"/>
          <w:sz w:val="22"/>
          <w:szCs w:val="22"/>
        </w:rPr>
        <w:t xml:space="preserve"> </w:t>
      </w:r>
      <w:r w:rsidR="00714F6A" w:rsidRPr="006068A2">
        <w:rPr>
          <w:rFonts w:ascii="Arial" w:hAnsi="Arial" w:cs="Arial"/>
          <w:b/>
          <w:bCs/>
          <w:color w:val="auto"/>
          <w:sz w:val="22"/>
          <w:szCs w:val="22"/>
        </w:rPr>
        <w:t>Coosalud</w:t>
      </w:r>
      <w:r w:rsidR="44910BD9" w:rsidRPr="006068A2">
        <w:rPr>
          <w:rFonts w:ascii="Arial" w:hAnsi="Arial" w:cs="Arial"/>
          <w:b/>
          <w:bCs/>
          <w:color w:val="auto"/>
          <w:sz w:val="22"/>
          <w:szCs w:val="22"/>
        </w:rPr>
        <w:t xml:space="preserve"> </w:t>
      </w:r>
      <w:r w:rsidR="78F6FF57" w:rsidRPr="006068A2">
        <w:rPr>
          <w:rFonts w:ascii="Arial" w:hAnsi="Arial" w:cs="Arial"/>
          <w:b/>
          <w:bCs/>
          <w:color w:val="auto"/>
          <w:sz w:val="22"/>
          <w:szCs w:val="22"/>
        </w:rPr>
        <w:t xml:space="preserve">Vs </w:t>
      </w:r>
      <w:r w:rsidR="4AF44B35" w:rsidRPr="006068A2">
        <w:rPr>
          <w:rFonts w:ascii="Arial" w:hAnsi="Arial" w:cs="Arial"/>
          <w:b/>
          <w:bCs/>
          <w:color w:val="auto"/>
          <w:sz w:val="22"/>
          <w:szCs w:val="22"/>
        </w:rPr>
        <w:t xml:space="preserve">Grupo </w:t>
      </w:r>
      <w:r w:rsidR="43A3660D" w:rsidRPr="006068A2">
        <w:rPr>
          <w:rFonts w:ascii="Arial" w:hAnsi="Arial" w:cs="Arial"/>
          <w:b/>
          <w:bCs/>
          <w:color w:val="auto"/>
          <w:sz w:val="22"/>
          <w:szCs w:val="22"/>
        </w:rPr>
        <w:t xml:space="preserve">de atención y monitoreo en salud </w:t>
      </w:r>
      <w:r w:rsidR="78F6FF57" w:rsidRPr="006068A2">
        <w:rPr>
          <w:rFonts w:ascii="Arial" w:hAnsi="Arial" w:cs="Arial"/>
          <w:b/>
          <w:bCs/>
          <w:color w:val="auto"/>
          <w:sz w:val="22"/>
          <w:szCs w:val="22"/>
        </w:rPr>
        <w:t>– GAMA</w:t>
      </w:r>
      <w:r w:rsidR="004D6CDA" w:rsidRPr="006068A2">
        <w:rPr>
          <w:rStyle w:val="Refdenotaalpie"/>
          <w:rFonts w:ascii="Arial" w:hAnsi="Arial" w:cs="Arial"/>
          <w:b/>
          <w:bCs/>
          <w:color w:val="auto"/>
          <w:sz w:val="22"/>
          <w:szCs w:val="22"/>
        </w:rPr>
        <w:footnoteReference w:id="9"/>
      </w:r>
      <w:r w:rsidR="78F6FF57" w:rsidRPr="006068A2">
        <w:rPr>
          <w:rFonts w:ascii="Arial" w:hAnsi="Arial" w:cs="Arial"/>
          <w:b/>
          <w:bCs/>
          <w:color w:val="auto"/>
          <w:sz w:val="22"/>
          <w:szCs w:val="22"/>
        </w:rPr>
        <w:t xml:space="preserve"> </w:t>
      </w:r>
      <w:r w:rsidR="4EC7B799" w:rsidRPr="006068A2">
        <w:rPr>
          <w:rFonts w:ascii="Arial" w:hAnsi="Arial" w:cs="Arial"/>
          <w:b/>
          <w:bCs/>
          <w:color w:val="auto"/>
          <w:sz w:val="22"/>
          <w:szCs w:val="22"/>
        </w:rPr>
        <w:t>Secretar</w:t>
      </w:r>
      <w:r w:rsidR="07D31EA5" w:rsidRPr="006068A2">
        <w:rPr>
          <w:rFonts w:ascii="Arial" w:hAnsi="Arial" w:cs="Arial"/>
          <w:b/>
          <w:bCs/>
          <w:color w:val="auto"/>
          <w:sz w:val="22"/>
          <w:szCs w:val="22"/>
        </w:rPr>
        <w:t>í</w:t>
      </w:r>
      <w:r w:rsidR="4EC7B799" w:rsidRPr="006068A2">
        <w:rPr>
          <w:rFonts w:ascii="Arial" w:hAnsi="Arial" w:cs="Arial"/>
          <w:b/>
          <w:bCs/>
          <w:color w:val="auto"/>
          <w:sz w:val="22"/>
          <w:szCs w:val="22"/>
        </w:rPr>
        <w:t xml:space="preserve">a </w:t>
      </w:r>
      <w:r w:rsidR="78F6FF57" w:rsidRPr="006068A2">
        <w:rPr>
          <w:rFonts w:ascii="Arial" w:hAnsi="Arial" w:cs="Arial"/>
          <w:b/>
          <w:bCs/>
          <w:color w:val="auto"/>
          <w:sz w:val="22"/>
          <w:szCs w:val="22"/>
        </w:rPr>
        <w:t>Distrital de Salud</w:t>
      </w:r>
      <w:r w:rsidR="78311935" w:rsidRPr="006068A2">
        <w:rPr>
          <w:rFonts w:ascii="Arial" w:hAnsi="Arial" w:cs="Arial"/>
          <w:b/>
          <w:bCs/>
          <w:color w:val="auto"/>
          <w:sz w:val="22"/>
          <w:szCs w:val="22"/>
        </w:rPr>
        <w:t xml:space="preserve"> </w:t>
      </w:r>
      <w:r w:rsidR="68C32588" w:rsidRPr="006068A2">
        <w:rPr>
          <w:rFonts w:ascii="Arial" w:hAnsi="Arial" w:cs="Arial"/>
          <w:b/>
          <w:bCs/>
          <w:color w:val="auto"/>
          <w:sz w:val="22"/>
          <w:szCs w:val="22"/>
        </w:rPr>
        <w:t>– Red Prestadora</w:t>
      </w:r>
      <w:bookmarkEnd w:id="54"/>
      <w:r w:rsidR="68C32588" w:rsidRPr="006068A2">
        <w:rPr>
          <w:rFonts w:ascii="Arial" w:hAnsi="Arial" w:cs="Arial"/>
          <w:b/>
          <w:bCs/>
          <w:color w:val="auto"/>
          <w:sz w:val="22"/>
          <w:szCs w:val="22"/>
        </w:rPr>
        <w:t xml:space="preserve"> </w:t>
      </w:r>
    </w:p>
    <w:p w14:paraId="212655DA" w14:textId="6C117ABB" w:rsidR="382B01F5" w:rsidRPr="006068A2" w:rsidRDefault="382B01F5" w:rsidP="006068A2">
      <w:pPr>
        <w:spacing w:line="360" w:lineRule="auto"/>
        <w:jc w:val="both"/>
        <w:rPr>
          <w:rFonts w:ascii="Arial" w:hAnsi="Arial" w:cs="Arial"/>
          <w:sz w:val="22"/>
          <w:szCs w:val="22"/>
        </w:rPr>
      </w:pPr>
    </w:p>
    <w:p w14:paraId="25633EFD" w14:textId="7EA18634" w:rsidR="00EB4088" w:rsidRPr="00CE7661" w:rsidRDefault="004E66A2" w:rsidP="006068A2">
      <w:pPr>
        <w:spacing w:line="360" w:lineRule="auto"/>
        <w:jc w:val="both"/>
        <w:rPr>
          <w:rFonts w:ascii="Arial" w:hAnsi="Arial" w:cs="Arial"/>
          <w:sz w:val="22"/>
          <w:szCs w:val="22"/>
        </w:rPr>
      </w:pPr>
      <w:r w:rsidRPr="00CE7661">
        <w:rPr>
          <w:rFonts w:ascii="Arial" w:hAnsi="Arial" w:cs="Arial"/>
          <w:sz w:val="22"/>
          <w:szCs w:val="22"/>
        </w:rPr>
        <w:t xml:space="preserve">De acuerdo con los resultados del seguimiento realizado por el Grupo de Atención y Monitoreo en Salud (GAMA) de la Subdirección de Garantía del Aseguramiento, se validaron los casos reportados por las áreas de referencia de las IPS con inoportunidad en el trámite de referencia superior a 24 horas. En el periodo comprendido entre el 27 de mayo </w:t>
      </w:r>
      <w:r w:rsidRPr="00CE7661">
        <w:rPr>
          <w:rFonts w:ascii="Arial" w:hAnsi="Arial" w:cs="Arial"/>
          <w:sz w:val="22"/>
          <w:szCs w:val="22"/>
        </w:rPr>
        <w:lastRenderedPageBreak/>
        <w:t>de 2025 y el 31 de enero de 2026, se identificaron 8.955 casos relacionados con problemas en traslados, interconsultas y remisiones. De este total, 199 casos correspondieron a usuarios afiliados a COOSALUD EPS, lo que equivale al 2,2% del total general de eventos detectados.</w:t>
      </w:r>
    </w:p>
    <w:p w14:paraId="4AA2F604" w14:textId="77777777" w:rsidR="004E66A2" w:rsidRPr="006068A2" w:rsidRDefault="004E66A2" w:rsidP="006068A2">
      <w:pPr>
        <w:spacing w:line="360" w:lineRule="auto"/>
        <w:jc w:val="both"/>
        <w:rPr>
          <w:rFonts w:ascii="Arial" w:hAnsi="Arial" w:cs="Arial"/>
          <w:sz w:val="22"/>
          <w:szCs w:val="22"/>
          <w:lang w:val="es-ES"/>
        </w:rPr>
      </w:pPr>
    </w:p>
    <w:p w14:paraId="598F0EAF" w14:textId="3609CFA9"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5" w:name="_Toc229395873"/>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16</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reportados por EAPB</w:t>
      </w:r>
      <w:bookmarkEnd w:id="55"/>
    </w:p>
    <w:tbl>
      <w:tblPr>
        <w:tblStyle w:val="Tablaconcuadrcula"/>
        <w:tblW w:w="8470" w:type="dxa"/>
        <w:jc w:val="center"/>
        <w:tblLook w:val="04A0" w:firstRow="1" w:lastRow="0" w:firstColumn="1" w:lastColumn="0" w:noHBand="0" w:noVBand="1"/>
      </w:tblPr>
      <w:tblGrid>
        <w:gridCol w:w="756"/>
        <w:gridCol w:w="3882"/>
        <w:gridCol w:w="1797"/>
        <w:gridCol w:w="2035"/>
      </w:tblGrid>
      <w:tr w:rsidR="000E5255" w:rsidRPr="006068A2" w14:paraId="3ED26586" w14:textId="77777777" w:rsidTr="00EB7B83">
        <w:trPr>
          <w:trHeight w:val="78"/>
          <w:jc w:val="center"/>
        </w:trPr>
        <w:tc>
          <w:tcPr>
            <w:tcW w:w="756" w:type="dxa"/>
            <w:noWrap/>
            <w:hideMark/>
          </w:tcPr>
          <w:p w14:paraId="369EBC20" w14:textId="77777777" w:rsidR="000E5255" w:rsidRPr="006068A2" w:rsidRDefault="000E5255" w:rsidP="00E0377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w:t>
            </w:r>
          </w:p>
        </w:tc>
        <w:tc>
          <w:tcPr>
            <w:tcW w:w="3882" w:type="dxa"/>
            <w:noWrap/>
            <w:hideMark/>
          </w:tcPr>
          <w:p w14:paraId="02A3E10F" w14:textId="77777777" w:rsidR="000E5255" w:rsidRPr="006068A2" w:rsidRDefault="000E5255" w:rsidP="00EB7B8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EAPB</w:t>
            </w:r>
          </w:p>
        </w:tc>
        <w:tc>
          <w:tcPr>
            <w:tcW w:w="1797" w:type="dxa"/>
            <w:noWrap/>
            <w:hideMark/>
          </w:tcPr>
          <w:p w14:paraId="63FDB039"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 DE CASOS</w:t>
            </w:r>
          </w:p>
        </w:tc>
        <w:tc>
          <w:tcPr>
            <w:tcW w:w="2035" w:type="dxa"/>
            <w:noWrap/>
            <w:hideMark/>
          </w:tcPr>
          <w:p w14:paraId="165E6842"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416AAED1" w14:textId="77777777" w:rsidTr="00EB7B83">
        <w:trPr>
          <w:trHeight w:val="302"/>
          <w:jc w:val="center"/>
        </w:trPr>
        <w:tc>
          <w:tcPr>
            <w:tcW w:w="756" w:type="dxa"/>
            <w:noWrap/>
            <w:hideMark/>
          </w:tcPr>
          <w:p w14:paraId="288D8C57"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w:t>
            </w:r>
          </w:p>
        </w:tc>
        <w:tc>
          <w:tcPr>
            <w:tcW w:w="3882" w:type="dxa"/>
            <w:noWrap/>
            <w:hideMark/>
          </w:tcPr>
          <w:p w14:paraId="594DA41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NUEVA EPS</w:t>
            </w:r>
          </w:p>
        </w:tc>
        <w:tc>
          <w:tcPr>
            <w:tcW w:w="1797" w:type="dxa"/>
            <w:noWrap/>
            <w:hideMark/>
          </w:tcPr>
          <w:p w14:paraId="129D194B"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2.413</w:t>
            </w:r>
          </w:p>
        </w:tc>
        <w:tc>
          <w:tcPr>
            <w:tcW w:w="2035" w:type="dxa"/>
            <w:noWrap/>
            <w:hideMark/>
          </w:tcPr>
          <w:p w14:paraId="2FE00D4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26,9%</w:t>
            </w:r>
          </w:p>
        </w:tc>
      </w:tr>
      <w:tr w:rsidR="000E5255" w:rsidRPr="006068A2" w14:paraId="51A6B6E9" w14:textId="77777777" w:rsidTr="00EB7B83">
        <w:trPr>
          <w:trHeight w:val="302"/>
          <w:jc w:val="center"/>
        </w:trPr>
        <w:tc>
          <w:tcPr>
            <w:tcW w:w="756" w:type="dxa"/>
            <w:noWrap/>
            <w:hideMark/>
          </w:tcPr>
          <w:p w14:paraId="34C1671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w:t>
            </w:r>
          </w:p>
        </w:tc>
        <w:tc>
          <w:tcPr>
            <w:tcW w:w="3882" w:type="dxa"/>
            <w:noWrap/>
            <w:hideMark/>
          </w:tcPr>
          <w:p w14:paraId="7A9C84B1"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FAMISANAR</w:t>
            </w:r>
          </w:p>
        </w:tc>
        <w:tc>
          <w:tcPr>
            <w:tcW w:w="1797" w:type="dxa"/>
            <w:noWrap/>
            <w:hideMark/>
          </w:tcPr>
          <w:p w14:paraId="619B620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1.765</w:t>
            </w:r>
          </w:p>
        </w:tc>
        <w:tc>
          <w:tcPr>
            <w:tcW w:w="2035" w:type="dxa"/>
            <w:noWrap/>
            <w:hideMark/>
          </w:tcPr>
          <w:p w14:paraId="210B82D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19,7%</w:t>
            </w:r>
          </w:p>
        </w:tc>
      </w:tr>
      <w:tr w:rsidR="000E5255" w:rsidRPr="006068A2" w14:paraId="5EF92748" w14:textId="77777777" w:rsidTr="00EB7B83">
        <w:trPr>
          <w:trHeight w:val="302"/>
          <w:jc w:val="center"/>
        </w:trPr>
        <w:tc>
          <w:tcPr>
            <w:tcW w:w="756" w:type="dxa"/>
            <w:noWrap/>
            <w:hideMark/>
          </w:tcPr>
          <w:p w14:paraId="03C3F5D2"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3</w:t>
            </w:r>
          </w:p>
        </w:tc>
        <w:tc>
          <w:tcPr>
            <w:tcW w:w="3882" w:type="dxa"/>
            <w:noWrap/>
            <w:hideMark/>
          </w:tcPr>
          <w:p w14:paraId="0FBA1F5B"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COMPENSAR</w:t>
            </w:r>
          </w:p>
        </w:tc>
        <w:tc>
          <w:tcPr>
            <w:tcW w:w="1797" w:type="dxa"/>
            <w:noWrap/>
            <w:hideMark/>
          </w:tcPr>
          <w:p w14:paraId="7251A40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1.109</w:t>
            </w:r>
          </w:p>
        </w:tc>
        <w:tc>
          <w:tcPr>
            <w:tcW w:w="2035" w:type="dxa"/>
            <w:noWrap/>
            <w:hideMark/>
          </w:tcPr>
          <w:p w14:paraId="410E5C5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12,4%</w:t>
            </w:r>
          </w:p>
        </w:tc>
      </w:tr>
      <w:tr w:rsidR="000E5255" w:rsidRPr="006068A2" w14:paraId="3BE223B1" w14:textId="77777777" w:rsidTr="00EB7B83">
        <w:trPr>
          <w:trHeight w:val="302"/>
          <w:jc w:val="center"/>
        </w:trPr>
        <w:tc>
          <w:tcPr>
            <w:tcW w:w="756" w:type="dxa"/>
            <w:noWrap/>
            <w:hideMark/>
          </w:tcPr>
          <w:p w14:paraId="1764DF68"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w:t>
            </w:r>
          </w:p>
        </w:tc>
        <w:tc>
          <w:tcPr>
            <w:tcW w:w="3882" w:type="dxa"/>
            <w:noWrap/>
            <w:hideMark/>
          </w:tcPr>
          <w:p w14:paraId="13DB61F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CAPITAL SALUD</w:t>
            </w:r>
          </w:p>
        </w:tc>
        <w:tc>
          <w:tcPr>
            <w:tcW w:w="1797" w:type="dxa"/>
            <w:noWrap/>
            <w:hideMark/>
          </w:tcPr>
          <w:p w14:paraId="624AEC2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1.079</w:t>
            </w:r>
          </w:p>
        </w:tc>
        <w:tc>
          <w:tcPr>
            <w:tcW w:w="2035" w:type="dxa"/>
            <w:noWrap/>
            <w:hideMark/>
          </w:tcPr>
          <w:p w14:paraId="6F521AF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12,0%</w:t>
            </w:r>
          </w:p>
        </w:tc>
      </w:tr>
      <w:tr w:rsidR="000E5255" w:rsidRPr="006068A2" w14:paraId="774A3DD2" w14:textId="77777777" w:rsidTr="00EB7B83">
        <w:trPr>
          <w:trHeight w:val="302"/>
          <w:jc w:val="center"/>
        </w:trPr>
        <w:tc>
          <w:tcPr>
            <w:tcW w:w="756" w:type="dxa"/>
            <w:noWrap/>
            <w:hideMark/>
          </w:tcPr>
          <w:p w14:paraId="6D8017B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5</w:t>
            </w:r>
          </w:p>
        </w:tc>
        <w:tc>
          <w:tcPr>
            <w:tcW w:w="3882" w:type="dxa"/>
            <w:noWrap/>
            <w:hideMark/>
          </w:tcPr>
          <w:p w14:paraId="661B90B7"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SANITAS</w:t>
            </w:r>
          </w:p>
        </w:tc>
        <w:tc>
          <w:tcPr>
            <w:tcW w:w="1797" w:type="dxa"/>
            <w:noWrap/>
            <w:hideMark/>
          </w:tcPr>
          <w:p w14:paraId="4A8B9B6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962</w:t>
            </w:r>
          </w:p>
        </w:tc>
        <w:tc>
          <w:tcPr>
            <w:tcW w:w="2035" w:type="dxa"/>
            <w:noWrap/>
            <w:hideMark/>
          </w:tcPr>
          <w:p w14:paraId="68D610A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w:t>
            </w:r>
          </w:p>
        </w:tc>
      </w:tr>
      <w:tr w:rsidR="000E5255" w:rsidRPr="006068A2" w14:paraId="343728CC" w14:textId="77777777" w:rsidTr="00EB7B83">
        <w:trPr>
          <w:trHeight w:val="302"/>
          <w:jc w:val="center"/>
        </w:trPr>
        <w:tc>
          <w:tcPr>
            <w:tcW w:w="756" w:type="dxa"/>
            <w:noWrap/>
            <w:hideMark/>
          </w:tcPr>
          <w:p w14:paraId="763288F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6</w:t>
            </w:r>
          </w:p>
        </w:tc>
        <w:tc>
          <w:tcPr>
            <w:tcW w:w="3882" w:type="dxa"/>
            <w:noWrap/>
            <w:hideMark/>
          </w:tcPr>
          <w:p w14:paraId="0BBE3AB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SALUD TOTAL</w:t>
            </w:r>
          </w:p>
        </w:tc>
        <w:tc>
          <w:tcPr>
            <w:tcW w:w="1797" w:type="dxa"/>
            <w:noWrap/>
            <w:hideMark/>
          </w:tcPr>
          <w:p w14:paraId="1BE01CA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415</w:t>
            </w:r>
          </w:p>
        </w:tc>
        <w:tc>
          <w:tcPr>
            <w:tcW w:w="2035" w:type="dxa"/>
            <w:noWrap/>
            <w:hideMark/>
          </w:tcPr>
          <w:p w14:paraId="7FB740A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4,6%</w:t>
            </w:r>
          </w:p>
        </w:tc>
      </w:tr>
      <w:tr w:rsidR="000E5255" w:rsidRPr="006068A2" w14:paraId="159533FB" w14:textId="77777777" w:rsidTr="00EB7B83">
        <w:trPr>
          <w:trHeight w:val="302"/>
          <w:jc w:val="center"/>
        </w:trPr>
        <w:tc>
          <w:tcPr>
            <w:tcW w:w="756" w:type="dxa"/>
            <w:noWrap/>
            <w:hideMark/>
          </w:tcPr>
          <w:p w14:paraId="4324D88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7</w:t>
            </w:r>
          </w:p>
        </w:tc>
        <w:tc>
          <w:tcPr>
            <w:tcW w:w="3882" w:type="dxa"/>
            <w:noWrap/>
            <w:hideMark/>
          </w:tcPr>
          <w:p w14:paraId="7793724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SURA</w:t>
            </w:r>
          </w:p>
        </w:tc>
        <w:tc>
          <w:tcPr>
            <w:tcW w:w="1797" w:type="dxa"/>
            <w:noWrap/>
            <w:hideMark/>
          </w:tcPr>
          <w:p w14:paraId="6E9419AE"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260</w:t>
            </w:r>
          </w:p>
        </w:tc>
        <w:tc>
          <w:tcPr>
            <w:tcW w:w="2035" w:type="dxa"/>
            <w:noWrap/>
            <w:hideMark/>
          </w:tcPr>
          <w:p w14:paraId="42AA2D35"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2,9%</w:t>
            </w:r>
          </w:p>
        </w:tc>
      </w:tr>
      <w:tr w:rsidR="000E5255" w:rsidRPr="006068A2" w14:paraId="73EF6763" w14:textId="77777777" w:rsidTr="00335DEA">
        <w:trPr>
          <w:trHeight w:val="302"/>
          <w:jc w:val="center"/>
        </w:trPr>
        <w:tc>
          <w:tcPr>
            <w:tcW w:w="756" w:type="dxa"/>
            <w:shd w:val="clear" w:color="auto" w:fill="FBE4D5" w:themeFill="accent2" w:themeFillTint="33"/>
            <w:noWrap/>
            <w:hideMark/>
          </w:tcPr>
          <w:p w14:paraId="17F7E2FA"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8</w:t>
            </w:r>
          </w:p>
        </w:tc>
        <w:tc>
          <w:tcPr>
            <w:tcW w:w="3882" w:type="dxa"/>
            <w:shd w:val="clear" w:color="auto" w:fill="FBE4D5" w:themeFill="accent2" w:themeFillTint="33"/>
            <w:noWrap/>
            <w:hideMark/>
          </w:tcPr>
          <w:p w14:paraId="1BCB4C8A"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COOSALUD</w:t>
            </w:r>
          </w:p>
        </w:tc>
        <w:tc>
          <w:tcPr>
            <w:tcW w:w="1797" w:type="dxa"/>
            <w:shd w:val="clear" w:color="auto" w:fill="FBE4D5" w:themeFill="accent2" w:themeFillTint="33"/>
            <w:noWrap/>
            <w:hideMark/>
          </w:tcPr>
          <w:p w14:paraId="61441B0E"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199</w:t>
            </w:r>
          </w:p>
        </w:tc>
        <w:tc>
          <w:tcPr>
            <w:tcW w:w="2035" w:type="dxa"/>
            <w:shd w:val="clear" w:color="auto" w:fill="FBE4D5" w:themeFill="accent2" w:themeFillTint="33"/>
            <w:noWrap/>
            <w:hideMark/>
          </w:tcPr>
          <w:p w14:paraId="0CCEC886"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2,2%</w:t>
            </w:r>
          </w:p>
        </w:tc>
      </w:tr>
      <w:tr w:rsidR="000E5255" w:rsidRPr="006068A2" w14:paraId="5823E642" w14:textId="77777777" w:rsidTr="00EB7B83">
        <w:trPr>
          <w:trHeight w:val="302"/>
          <w:jc w:val="center"/>
        </w:trPr>
        <w:tc>
          <w:tcPr>
            <w:tcW w:w="756" w:type="dxa"/>
            <w:noWrap/>
            <w:hideMark/>
          </w:tcPr>
          <w:p w14:paraId="425E2F5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w:t>
            </w:r>
          </w:p>
        </w:tc>
        <w:tc>
          <w:tcPr>
            <w:tcW w:w="3882" w:type="dxa"/>
            <w:noWrap/>
            <w:hideMark/>
          </w:tcPr>
          <w:p w14:paraId="324ABF26"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FOMAG</w:t>
            </w:r>
          </w:p>
        </w:tc>
        <w:tc>
          <w:tcPr>
            <w:tcW w:w="1797" w:type="dxa"/>
            <w:noWrap/>
            <w:hideMark/>
          </w:tcPr>
          <w:p w14:paraId="7893E48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138</w:t>
            </w:r>
          </w:p>
        </w:tc>
        <w:tc>
          <w:tcPr>
            <w:tcW w:w="2035" w:type="dxa"/>
            <w:noWrap/>
            <w:hideMark/>
          </w:tcPr>
          <w:p w14:paraId="5CB2F31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1,5%</w:t>
            </w:r>
          </w:p>
        </w:tc>
      </w:tr>
      <w:tr w:rsidR="000E5255" w:rsidRPr="006068A2" w14:paraId="45A0281E" w14:textId="77777777" w:rsidTr="00EB7B83">
        <w:trPr>
          <w:trHeight w:val="302"/>
          <w:jc w:val="center"/>
        </w:trPr>
        <w:tc>
          <w:tcPr>
            <w:tcW w:w="756" w:type="dxa"/>
            <w:noWrap/>
            <w:hideMark/>
          </w:tcPr>
          <w:p w14:paraId="74456151"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c>
          <w:tcPr>
            <w:tcW w:w="3882" w:type="dxa"/>
            <w:noWrap/>
            <w:hideMark/>
          </w:tcPr>
          <w:p w14:paraId="24B35D7C"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FFD (no asegurado)</w:t>
            </w:r>
          </w:p>
        </w:tc>
        <w:tc>
          <w:tcPr>
            <w:tcW w:w="1797" w:type="dxa"/>
            <w:noWrap/>
            <w:hideMark/>
          </w:tcPr>
          <w:p w14:paraId="101617A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92</w:t>
            </w:r>
          </w:p>
        </w:tc>
        <w:tc>
          <w:tcPr>
            <w:tcW w:w="2035" w:type="dxa"/>
            <w:noWrap/>
            <w:hideMark/>
          </w:tcPr>
          <w:p w14:paraId="3A96C8BF"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r>
      <w:tr w:rsidR="00454811" w:rsidRPr="006068A2" w14:paraId="41D6EDFE" w14:textId="77777777" w:rsidTr="00EB7B83">
        <w:trPr>
          <w:trHeight w:val="302"/>
          <w:jc w:val="center"/>
        </w:trPr>
        <w:tc>
          <w:tcPr>
            <w:tcW w:w="756" w:type="dxa"/>
            <w:noWrap/>
          </w:tcPr>
          <w:p w14:paraId="1320DA9C" w14:textId="3CE88280" w:rsidR="00454811" w:rsidRPr="006068A2" w:rsidRDefault="00454811" w:rsidP="00E03773">
            <w:pPr>
              <w:jc w:val="center"/>
              <w:rPr>
                <w:rFonts w:ascii="Arial" w:hAnsi="Arial" w:cs="Arial"/>
                <w:color w:val="000000"/>
                <w:sz w:val="22"/>
                <w:szCs w:val="22"/>
                <w:lang w:eastAsia="es-CO"/>
              </w:rPr>
            </w:pPr>
            <w:r>
              <w:rPr>
                <w:rFonts w:ascii="Arial" w:hAnsi="Arial" w:cs="Arial"/>
                <w:color w:val="000000"/>
                <w:sz w:val="22"/>
                <w:szCs w:val="22"/>
                <w:lang w:eastAsia="es-CO"/>
              </w:rPr>
              <w:t>11</w:t>
            </w:r>
          </w:p>
        </w:tc>
        <w:tc>
          <w:tcPr>
            <w:tcW w:w="3882" w:type="dxa"/>
            <w:noWrap/>
          </w:tcPr>
          <w:p w14:paraId="6E6F477E" w14:textId="0448976F" w:rsidR="00454811" w:rsidRPr="006068A2" w:rsidRDefault="006E486C" w:rsidP="00EB7B83">
            <w:pPr>
              <w:jc w:val="both"/>
              <w:rPr>
                <w:rFonts w:ascii="Arial" w:hAnsi="Arial" w:cs="Arial"/>
                <w:color w:val="000000"/>
                <w:sz w:val="22"/>
                <w:szCs w:val="22"/>
                <w:lang w:eastAsia="es-CO"/>
              </w:rPr>
            </w:pPr>
            <w:r>
              <w:rPr>
                <w:rFonts w:ascii="Arial" w:hAnsi="Arial" w:cs="Arial"/>
                <w:color w:val="000000"/>
                <w:sz w:val="22"/>
                <w:szCs w:val="22"/>
                <w:lang w:eastAsia="es-CO"/>
              </w:rPr>
              <w:t>Otros</w:t>
            </w:r>
            <w:r w:rsidR="0038644E">
              <w:rPr>
                <w:rStyle w:val="Refdenotaalpie"/>
                <w:rFonts w:ascii="Arial" w:hAnsi="Arial" w:cs="Arial"/>
                <w:color w:val="000000"/>
                <w:sz w:val="22"/>
                <w:szCs w:val="22"/>
                <w:lang w:eastAsia="es-CO"/>
              </w:rPr>
              <w:footnoteReference w:id="10"/>
            </w:r>
          </w:p>
        </w:tc>
        <w:tc>
          <w:tcPr>
            <w:tcW w:w="1797" w:type="dxa"/>
            <w:noWrap/>
          </w:tcPr>
          <w:p w14:paraId="3E16AF26" w14:textId="2F07A3EF"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523</w:t>
            </w:r>
          </w:p>
        </w:tc>
        <w:tc>
          <w:tcPr>
            <w:tcW w:w="2035" w:type="dxa"/>
            <w:noWrap/>
          </w:tcPr>
          <w:p w14:paraId="074A20BF" w14:textId="2E3CA033"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5,8%</w:t>
            </w:r>
          </w:p>
        </w:tc>
      </w:tr>
      <w:tr w:rsidR="00050F77" w:rsidRPr="006068A2" w14:paraId="3F2D5B18" w14:textId="77777777" w:rsidTr="00EB7B83">
        <w:trPr>
          <w:trHeight w:val="78"/>
          <w:jc w:val="center"/>
        </w:trPr>
        <w:tc>
          <w:tcPr>
            <w:tcW w:w="756" w:type="dxa"/>
            <w:noWrap/>
            <w:hideMark/>
          </w:tcPr>
          <w:p w14:paraId="2C2FF3D9" w14:textId="77777777" w:rsidR="00050F77" w:rsidRPr="006068A2" w:rsidRDefault="00050F77" w:rsidP="00E03773">
            <w:pPr>
              <w:jc w:val="center"/>
              <w:rPr>
                <w:rFonts w:ascii="Arial" w:hAnsi="Arial" w:cs="Arial"/>
                <w:color w:val="000000"/>
                <w:kern w:val="0"/>
                <w:sz w:val="22"/>
                <w:szCs w:val="22"/>
                <w:lang w:eastAsia="es-CO"/>
                <w14:ligatures w14:val="none"/>
              </w:rPr>
            </w:pPr>
          </w:p>
        </w:tc>
        <w:tc>
          <w:tcPr>
            <w:tcW w:w="3882" w:type="dxa"/>
            <w:noWrap/>
          </w:tcPr>
          <w:p w14:paraId="46AA835B" w14:textId="7D287169" w:rsidR="00050F77" w:rsidRPr="0007677A" w:rsidRDefault="0007677A" w:rsidP="00EB7B83">
            <w:pPr>
              <w:jc w:val="both"/>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Total,</w:t>
            </w:r>
            <w:r w:rsidR="00050F77" w:rsidRPr="0007677A">
              <w:rPr>
                <w:rFonts w:ascii="Arial" w:hAnsi="Arial" w:cs="Arial"/>
                <w:b/>
                <w:bCs/>
                <w:color w:val="000000"/>
                <w:kern w:val="0"/>
                <w:sz w:val="22"/>
                <w:szCs w:val="22"/>
                <w:lang w:eastAsia="es-CO"/>
                <w14:ligatures w14:val="none"/>
              </w:rPr>
              <w:t xml:space="preserve"> casos</w:t>
            </w:r>
          </w:p>
        </w:tc>
        <w:tc>
          <w:tcPr>
            <w:tcW w:w="1797" w:type="dxa"/>
            <w:noWrap/>
          </w:tcPr>
          <w:p w14:paraId="167E0464" w14:textId="0FD8CC6D" w:rsidR="00050F77" w:rsidRPr="0007677A" w:rsidRDefault="00050F77" w:rsidP="00454811">
            <w:pPr>
              <w:jc w:val="center"/>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8.955</w:t>
            </w:r>
          </w:p>
        </w:tc>
        <w:tc>
          <w:tcPr>
            <w:tcW w:w="2035" w:type="dxa"/>
            <w:noWrap/>
            <w:hideMark/>
          </w:tcPr>
          <w:p w14:paraId="7B7B2AFE" w14:textId="03018A76" w:rsidR="00050F77" w:rsidRPr="006068A2" w:rsidRDefault="000D21E7" w:rsidP="00454811">
            <w:pPr>
              <w:jc w:val="center"/>
              <w:rPr>
                <w:rFonts w:ascii="Arial" w:hAnsi="Arial" w:cs="Arial"/>
                <w:kern w:val="0"/>
                <w:sz w:val="22"/>
                <w:szCs w:val="22"/>
                <w:lang w:eastAsia="es-CO"/>
                <w14:ligatures w14:val="none"/>
              </w:rPr>
            </w:pPr>
            <w:r>
              <w:rPr>
                <w:rFonts w:ascii="Arial" w:hAnsi="Arial" w:cs="Arial"/>
                <w:kern w:val="0"/>
                <w:sz w:val="22"/>
                <w:szCs w:val="22"/>
                <w:lang w:eastAsia="es-CO"/>
                <w14:ligatures w14:val="none"/>
              </w:rPr>
              <w:t>100%</w:t>
            </w:r>
          </w:p>
        </w:tc>
      </w:tr>
    </w:tbl>
    <w:p w14:paraId="16C40DD0" w14:textId="4559C2DE" w:rsidR="000E5255" w:rsidRPr="00905226" w:rsidRDefault="000E5255" w:rsidP="006068A2">
      <w:pPr>
        <w:spacing w:line="360" w:lineRule="auto"/>
        <w:jc w:val="both"/>
        <w:rPr>
          <w:rFonts w:ascii="Arial" w:hAnsi="Arial" w:cs="Arial"/>
          <w:sz w:val="16"/>
          <w:szCs w:val="16"/>
          <w:lang w:val="es-ES"/>
        </w:rPr>
      </w:pPr>
      <w:r w:rsidRPr="00905226">
        <w:rPr>
          <w:rFonts w:ascii="Arial" w:hAnsi="Arial" w:cs="Arial"/>
          <w:sz w:val="16"/>
          <w:szCs w:val="16"/>
          <w:lang w:val="es-ES"/>
        </w:rPr>
        <w:t>F</w:t>
      </w:r>
      <w:r w:rsidR="00972E1E" w:rsidRPr="00905226">
        <w:rPr>
          <w:rFonts w:ascii="Arial" w:hAnsi="Arial" w:cs="Arial"/>
          <w:sz w:val="16"/>
          <w:szCs w:val="16"/>
          <w:lang w:val="es-ES"/>
        </w:rPr>
        <w:t>uente</w:t>
      </w:r>
      <w:r w:rsidRPr="00905226">
        <w:rPr>
          <w:rFonts w:ascii="Arial" w:hAnsi="Arial" w:cs="Arial"/>
          <w:sz w:val="16"/>
          <w:szCs w:val="16"/>
          <w:lang w:val="es-ES"/>
        </w:rPr>
        <w:t>: Reporte de Google Forms del Número de casos especiales detectados por GAMA (27/05/2025 - 31/01/2026)</w:t>
      </w:r>
    </w:p>
    <w:p w14:paraId="30823A7A" w14:textId="77777777" w:rsidR="00EB7B83" w:rsidRDefault="00EB7B83" w:rsidP="006068A2">
      <w:pPr>
        <w:spacing w:line="360" w:lineRule="auto"/>
        <w:jc w:val="both"/>
        <w:rPr>
          <w:rFonts w:ascii="Arial" w:hAnsi="Arial" w:cs="Arial"/>
          <w:sz w:val="22"/>
          <w:szCs w:val="22"/>
          <w:lang w:val="es-ES"/>
        </w:rPr>
      </w:pPr>
    </w:p>
    <w:p w14:paraId="5DC89C6A" w14:textId="77777777" w:rsidR="00CE7661" w:rsidRDefault="00CE7661" w:rsidP="00CE7661">
      <w:pPr>
        <w:spacing w:line="360" w:lineRule="auto"/>
        <w:jc w:val="both"/>
        <w:rPr>
          <w:rFonts w:ascii="Arial" w:hAnsi="Arial" w:cs="Arial"/>
          <w:sz w:val="22"/>
          <w:szCs w:val="22"/>
        </w:rPr>
      </w:pPr>
      <w:r w:rsidRPr="00CE7661">
        <w:rPr>
          <w:rFonts w:ascii="Arial" w:hAnsi="Arial" w:cs="Arial"/>
          <w:sz w:val="22"/>
          <w:szCs w:val="22"/>
        </w:rPr>
        <w:t xml:space="preserve">En términos comparativos, COOSALUD EPS representa una proporción relativamente baja dentro del total de eventos detectados por GAMA. No obstante, el número absoluto de </w:t>
      </w:r>
      <w:r w:rsidRPr="00CE7661">
        <w:rPr>
          <w:rFonts w:ascii="Arial" w:hAnsi="Arial" w:cs="Arial"/>
          <w:b/>
          <w:bCs/>
          <w:sz w:val="22"/>
          <w:szCs w:val="22"/>
        </w:rPr>
        <w:t>199 casos</w:t>
      </w:r>
      <w:r w:rsidRPr="00CE7661">
        <w:rPr>
          <w:rFonts w:ascii="Arial" w:hAnsi="Arial" w:cs="Arial"/>
          <w:sz w:val="22"/>
          <w:szCs w:val="22"/>
        </w:rPr>
        <w:t xml:space="preserve"> mantiene relevancia analítica, en la medida en que se trata de situaciones de inoportunidad en procesos críticos de referencia, remisión, traslado e interconsulta, con potencial afectación sobre la continuidad, integralidad y oportunidad de la atención de los usuarios afiliados.</w:t>
      </w:r>
    </w:p>
    <w:p w14:paraId="5EFDDFBA" w14:textId="77777777" w:rsidR="00307D6E" w:rsidRPr="00CE7661" w:rsidRDefault="00307D6E" w:rsidP="00CE7661">
      <w:pPr>
        <w:spacing w:line="360" w:lineRule="auto"/>
        <w:jc w:val="both"/>
        <w:rPr>
          <w:rFonts w:ascii="Arial" w:hAnsi="Arial" w:cs="Arial"/>
          <w:sz w:val="22"/>
          <w:szCs w:val="22"/>
        </w:rPr>
      </w:pPr>
    </w:p>
    <w:p w14:paraId="74257FCC" w14:textId="77777777" w:rsidR="00CE7661" w:rsidRPr="00CE7661" w:rsidRDefault="00CE7661" w:rsidP="00CE7661">
      <w:pPr>
        <w:spacing w:line="360" w:lineRule="auto"/>
        <w:jc w:val="both"/>
        <w:rPr>
          <w:rFonts w:ascii="Arial" w:hAnsi="Arial" w:cs="Arial"/>
          <w:sz w:val="22"/>
          <w:szCs w:val="22"/>
        </w:rPr>
      </w:pPr>
      <w:r w:rsidRPr="00CE7661">
        <w:rPr>
          <w:rFonts w:ascii="Arial" w:hAnsi="Arial" w:cs="Arial"/>
          <w:sz w:val="22"/>
          <w:szCs w:val="22"/>
        </w:rPr>
        <w:t xml:space="preserve">Ahora bien, al realizar el cruce de estos 199 casos con la red prestadora reportada por COOSALUD EPS, se identificó que 151 casos, equivalentes al 75,9%, correspondieron a instituciones que sí hacían parte de la red contratada por la EPS. Este hallazgo es importante porque indica que la mayor proporción de eventos de inoportunidad no se explica únicamente por ausencia de contratación o atención fuera de red, sino por </w:t>
      </w:r>
      <w:r w:rsidRPr="00CE7661">
        <w:rPr>
          <w:rFonts w:ascii="Arial" w:hAnsi="Arial" w:cs="Arial"/>
          <w:sz w:val="22"/>
          <w:szCs w:val="22"/>
        </w:rPr>
        <w:lastRenderedPageBreak/>
        <w:t>dificultades presentadas dentro de la red efectivamente habilitada para la atención de los afiliados.</w:t>
      </w:r>
    </w:p>
    <w:p w14:paraId="4D79EA5D" w14:textId="77777777" w:rsidR="001A7B43" w:rsidRPr="00CE7661" w:rsidRDefault="001A7B43" w:rsidP="006068A2">
      <w:pPr>
        <w:spacing w:line="360" w:lineRule="auto"/>
        <w:jc w:val="both"/>
        <w:rPr>
          <w:rFonts w:ascii="Arial" w:hAnsi="Arial" w:cs="Arial"/>
          <w:sz w:val="22"/>
          <w:szCs w:val="22"/>
        </w:rPr>
      </w:pPr>
    </w:p>
    <w:p w14:paraId="4C8E5969" w14:textId="320AB2E1"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6" w:name="_Toc229395874"/>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1A7B43">
        <w:rPr>
          <w:rFonts w:ascii="Arial" w:hAnsi="Arial" w:cs="Arial"/>
          <w:bCs/>
          <w:i w:val="0"/>
          <w:iCs w:val="0"/>
          <w:noProof/>
          <w:color w:val="000000" w:themeColor="text1"/>
          <w:sz w:val="22"/>
          <w:szCs w:val="22"/>
          <w:lang w:val="es-MX"/>
        </w:rPr>
        <w:t>17</w:t>
      </w:r>
      <w:r w:rsidRPr="006068A2">
        <w:rPr>
          <w:rFonts w:ascii="Arial" w:hAnsi="Arial" w:cs="Arial"/>
          <w:bCs/>
          <w:i w:val="0"/>
          <w:iCs w:val="0"/>
          <w:color w:val="000000" w:themeColor="text1"/>
          <w:sz w:val="22"/>
          <w:szCs w:val="22"/>
          <w:lang w:val="es-MX"/>
        </w:rPr>
        <w:fldChar w:fldCharType="end"/>
      </w:r>
      <w:r w:rsidR="00E917E0">
        <w:rPr>
          <w:rFonts w:ascii="Arial" w:hAnsi="Arial" w:cs="Arial"/>
          <w:bCs/>
          <w:i w:val="0"/>
          <w:iCs w:val="0"/>
          <w:color w:val="000000" w:themeColor="text1"/>
          <w:sz w:val="22"/>
          <w:szCs w:val="22"/>
          <w:lang w:val="es-MX"/>
        </w:rPr>
        <w:t>:</w:t>
      </w:r>
      <w:r w:rsidRPr="006068A2">
        <w:rPr>
          <w:rFonts w:ascii="Arial" w:hAnsi="Arial" w:cs="Arial"/>
          <w:bCs/>
          <w:i w:val="0"/>
          <w:iCs w:val="0"/>
          <w:color w:val="000000" w:themeColor="text1"/>
          <w:sz w:val="22"/>
          <w:szCs w:val="22"/>
          <w:lang w:val="es-MX"/>
        </w:rPr>
        <w:t xml:space="preserve"> </w:t>
      </w:r>
      <w:bookmarkEnd w:id="56"/>
      <w:r w:rsidR="00E917E0" w:rsidRPr="00E917E0">
        <w:rPr>
          <w:rFonts w:ascii="Arial" w:hAnsi="Arial" w:cs="Arial"/>
          <w:bCs/>
          <w:i w:val="0"/>
          <w:iCs w:val="0"/>
          <w:color w:val="000000" w:themeColor="text1"/>
          <w:sz w:val="22"/>
          <w:szCs w:val="22"/>
          <w:lang w:val="es-MX"/>
        </w:rPr>
        <w:t>Distribución de casos de COOSALUD EPS según cruce con la red prestadora reportada</w:t>
      </w:r>
    </w:p>
    <w:p w14:paraId="5C3A35B1" w14:textId="77777777" w:rsidR="00F600C2" w:rsidRDefault="00F600C2" w:rsidP="006068A2">
      <w:pPr>
        <w:spacing w:line="360" w:lineRule="auto"/>
        <w:jc w:val="both"/>
        <w:rPr>
          <w:rFonts w:ascii="Arial" w:hAnsi="Arial" w:cs="Arial"/>
          <w:sz w:val="16"/>
          <w:szCs w:val="16"/>
          <w:lang w:val="es-ES"/>
        </w:rPr>
      </w:pPr>
    </w:p>
    <w:tbl>
      <w:tblPr>
        <w:tblStyle w:val="Tablaconcuadrcula"/>
        <w:tblW w:w="0" w:type="auto"/>
        <w:jc w:val="center"/>
        <w:tblLook w:val="04A0" w:firstRow="1" w:lastRow="0" w:firstColumn="1" w:lastColumn="0" w:noHBand="0" w:noVBand="1"/>
      </w:tblPr>
      <w:tblGrid>
        <w:gridCol w:w="4618"/>
        <w:gridCol w:w="1630"/>
        <w:gridCol w:w="1341"/>
      </w:tblGrid>
      <w:tr w:rsidR="00F600C2" w:rsidRPr="00F600C2" w14:paraId="4ECF2250" w14:textId="77777777" w:rsidTr="00F600C2">
        <w:trPr>
          <w:jc w:val="center"/>
        </w:trPr>
        <w:tc>
          <w:tcPr>
            <w:tcW w:w="0" w:type="auto"/>
            <w:hideMark/>
          </w:tcPr>
          <w:p w14:paraId="7D8B52D8" w14:textId="77777777" w:rsidR="00F600C2" w:rsidRPr="00F600C2" w:rsidRDefault="00F600C2" w:rsidP="00F600C2">
            <w:pPr>
              <w:spacing w:line="360" w:lineRule="auto"/>
              <w:jc w:val="both"/>
              <w:rPr>
                <w:rFonts w:ascii="Arial" w:hAnsi="Arial" w:cs="Arial"/>
                <w:b/>
                <w:bCs/>
                <w:sz w:val="22"/>
                <w:szCs w:val="22"/>
              </w:rPr>
            </w:pPr>
            <w:r w:rsidRPr="00F600C2">
              <w:rPr>
                <w:rFonts w:ascii="Arial" w:hAnsi="Arial" w:cs="Arial"/>
                <w:b/>
                <w:bCs/>
                <w:sz w:val="22"/>
                <w:szCs w:val="22"/>
              </w:rPr>
              <w:t>IPS</w:t>
            </w:r>
          </w:p>
        </w:tc>
        <w:tc>
          <w:tcPr>
            <w:tcW w:w="0" w:type="auto"/>
            <w:hideMark/>
          </w:tcPr>
          <w:p w14:paraId="64F6193C" w14:textId="3B328AE6"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Total, general</w:t>
            </w:r>
          </w:p>
        </w:tc>
        <w:tc>
          <w:tcPr>
            <w:tcW w:w="0" w:type="auto"/>
            <w:hideMark/>
          </w:tcPr>
          <w:p w14:paraId="5032FADF" w14:textId="77777777"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Porcentaje</w:t>
            </w:r>
          </w:p>
        </w:tc>
      </w:tr>
      <w:tr w:rsidR="00F600C2" w:rsidRPr="00F600C2" w14:paraId="77FE23DE" w14:textId="77777777" w:rsidTr="00F600C2">
        <w:trPr>
          <w:jc w:val="center"/>
        </w:trPr>
        <w:tc>
          <w:tcPr>
            <w:tcW w:w="0" w:type="auto"/>
            <w:hideMark/>
          </w:tcPr>
          <w:p w14:paraId="7B644714"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Simón Bolívar</w:t>
            </w:r>
          </w:p>
        </w:tc>
        <w:tc>
          <w:tcPr>
            <w:tcW w:w="0" w:type="auto"/>
            <w:hideMark/>
          </w:tcPr>
          <w:p w14:paraId="5107B94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46</w:t>
            </w:r>
          </w:p>
        </w:tc>
        <w:tc>
          <w:tcPr>
            <w:tcW w:w="0" w:type="auto"/>
            <w:hideMark/>
          </w:tcPr>
          <w:p w14:paraId="305CED08"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23,1%</w:t>
            </w:r>
          </w:p>
        </w:tc>
      </w:tr>
      <w:tr w:rsidR="00F600C2" w:rsidRPr="00F600C2" w14:paraId="1FF53A2C" w14:textId="77777777" w:rsidTr="00F600C2">
        <w:trPr>
          <w:jc w:val="center"/>
        </w:trPr>
        <w:tc>
          <w:tcPr>
            <w:tcW w:w="0" w:type="auto"/>
            <w:hideMark/>
          </w:tcPr>
          <w:p w14:paraId="6BB3054A"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Meissen</w:t>
            </w:r>
          </w:p>
        </w:tc>
        <w:tc>
          <w:tcPr>
            <w:tcW w:w="0" w:type="auto"/>
            <w:hideMark/>
          </w:tcPr>
          <w:p w14:paraId="4DDEDBA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28</w:t>
            </w:r>
          </w:p>
        </w:tc>
        <w:tc>
          <w:tcPr>
            <w:tcW w:w="0" w:type="auto"/>
            <w:hideMark/>
          </w:tcPr>
          <w:p w14:paraId="799D3B34"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14,1%</w:t>
            </w:r>
          </w:p>
        </w:tc>
      </w:tr>
      <w:tr w:rsidR="00F600C2" w:rsidRPr="00F600C2" w14:paraId="77893BA8" w14:textId="77777777" w:rsidTr="00F600C2">
        <w:trPr>
          <w:jc w:val="center"/>
        </w:trPr>
        <w:tc>
          <w:tcPr>
            <w:tcW w:w="0" w:type="auto"/>
            <w:hideMark/>
          </w:tcPr>
          <w:p w14:paraId="1DC55C44" w14:textId="77777777" w:rsidR="00F600C2" w:rsidRPr="00F600C2" w:rsidRDefault="00F600C2" w:rsidP="00F600C2">
            <w:pPr>
              <w:spacing w:line="360" w:lineRule="auto"/>
              <w:jc w:val="both"/>
              <w:rPr>
                <w:rFonts w:ascii="Arial" w:hAnsi="Arial" w:cs="Arial"/>
                <w:sz w:val="22"/>
                <w:szCs w:val="22"/>
                <w:lang w:val="en-US"/>
              </w:rPr>
            </w:pPr>
            <w:r w:rsidRPr="00F600C2">
              <w:rPr>
                <w:rFonts w:ascii="Arial" w:hAnsi="Arial" w:cs="Arial"/>
                <w:sz w:val="22"/>
                <w:szCs w:val="22"/>
                <w:lang w:val="en-US"/>
              </w:rPr>
              <w:t>SISS SUR OCCIDENTE - USS Kennedy</w:t>
            </w:r>
          </w:p>
        </w:tc>
        <w:tc>
          <w:tcPr>
            <w:tcW w:w="0" w:type="auto"/>
            <w:hideMark/>
          </w:tcPr>
          <w:p w14:paraId="37714B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c>
          <w:tcPr>
            <w:tcW w:w="0" w:type="auto"/>
            <w:hideMark/>
          </w:tcPr>
          <w:p w14:paraId="106E6E4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10,1%</w:t>
            </w:r>
          </w:p>
        </w:tc>
      </w:tr>
      <w:tr w:rsidR="00F600C2" w:rsidRPr="00F600C2" w14:paraId="1143DD36" w14:textId="77777777" w:rsidTr="00F600C2">
        <w:trPr>
          <w:jc w:val="center"/>
        </w:trPr>
        <w:tc>
          <w:tcPr>
            <w:tcW w:w="0" w:type="auto"/>
            <w:hideMark/>
          </w:tcPr>
          <w:p w14:paraId="66C2A02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Hospital La Misericordia</w:t>
            </w:r>
          </w:p>
        </w:tc>
        <w:tc>
          <w:tcPr>
            <w:tcW w:w="0" w:type="auto"/>
            <w:hideMark/>
          </w:tcPr>
          <w:p w14:paraId="5385F4D1"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16</w:t>
            </w:r>
          </w:p>
        </w:tc>
        <w:tc>
          <w:tcPr>
            <w:tcW w:w="0" w:type="auto"/>
            <w:hideMark/>
          </w:tcPr>
          <w:p w14:paraId="550DE62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8,0%</w:t>
            </w:r>
          </w:p>
        </w:tc>
      </w:tr>
      <w:tr w:rsidR="00F600C2" w:rsidRPr="00F600C2" w14:paraId="4A64425B" w14:textId="77777777" w:rsidTr="00F600C2">
        <w:trPr>
          <w:jc w:val="center"/>
        </w:trPr>
        <w:tc>
          <w:tcPr>
            <w:tcW w:w="0" w:type="auto"/>
            <w:hideMark/>
          </w:tcPr>
          <w:p w14:paraId="738A0F12"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OCCIDENTE - USS Tintal</w:t>
            </w:r>
          </w:p>
        </w:tc>
        <w:tc>
          <w:tcPr>
            <w:tcW w:w="0" w:type="auto"/>
            <w:hideMark/>
          </w:tcPr>
          <w:p w14:paraId="1271170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13</w:t>
            </w:r>
          </w:p>
        </w:tc>
        <w:tc>
          <w:tcPr>
            <w:tcW w:w="0" w:type="auto"/>
            <w:hideMark/>
          </w:tcPr>
          <w:p w14:paraId="178E551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6,5%</w:t>
            </w:r>
          </w:p>
        </w:tc>
      </w:tr>
      <w:tr w:rsidR="00F600C2" w:rsidRPr="00F600C2" w14:paraId="77C3536C" w14:textId="77777777" w:rsidTr="00F600C2">
        <w:trPr>
          <w:jc w:val="center"/>
        </w:trPr>
        <w:tc>
          <w:tcPr>
            <w:tcW w:w="0" w:type="auto"/>
            <w:hideMark/>
          </w:tcPr>
          <w:p w14:paraId="03526A77"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Suba</w:t>
            </w:r>
          </w:p>
        </w:tc>
        <w:tc>
          <w:tcPr>
            <w:tcW w:w="0" w:type="auto"/>
            <w:hideMark/>
          </w:tcPr>
          <w:p w14:paraId="0BCAFCB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9</w:t>
            </w:r>
          </w:p>
        </w:tc>
        <w:tc>
          <w:tcPr>
            <w:tcW w:w="0" w:type="auto"/>
            <w:hideMark/>
          </w:tcPr>
          <w:p w14:paraId="054D0B9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4,5%</w:t>
            </w:r>
          </w:p>
        </w:tc>
      </w:tr>
      <w:tr w:rsidR="00F600C2" w:rsidRPr="00F600C2" w14:paraId="3D5829AD" w14:textId="77777777" w:rsidTr="00F600C2">
        <w:trPr>
          <w:jc w:val="center"/>
        </w:trPr>
        <w:tc>
          <w:tcPr>
            <w:tcW w:w="0" w:type="auto"/>
            <w:hideMark/>
          </w:tcPr>
          <w:p w14:paraId="1B645F8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El Tunal</w:t>
            </w:r>
          </w:p>
        </w:tc>
        <w:tc>
          <w:tcPr>
            <w:tcW w:w="0" w:type="auto"/>
            <w:hideMark/>
          </w:tcPr>
          <w:p w14:paraId="74B1BCB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7</w:t>
            </w:r>
          </w:p>
        </w:tc>
        <w:tc>
          <w:tcPr>
            <w:tcW w:w="0" w:type="auto"/>
            <w:hideMark/>
          </w:tcPr>
          <w:p w14:paraId="61A2CB25"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3,5%</w:t>
            </w:r>
          </w:p>
        </w:tc>
      </w:tr>
      <w:tr w:rsidR="00F600C2" w:rsidRPr="00F600C2" w14:paraId="762257EA" w14:textId="77777777" w:rsidTr="00F600C2">
        <w:trPr>
          <w:jc w:val="center"/>
        </w:trPr>
        <w:tc>
          <w:tcPr>
            <w:tcW w:w="0" w:type="auto"/>
            <w:hideMark/>
          </w:tcPr>
          <w:p w14:paraId="7A43A683"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Fundación Santa Fe de Bogotá</w:t>
            </w:r>
          </w:p>
        </w:tc>
        <w:tc>
          <w:tcPr>
            <w:tcW w:w="0" w:type="auto"/>
            <w:hideMark/>
          </w:tcPr>
          <w:p w14:paraId="1057F989"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1A0CBFA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46EBA3F2" w14:textId="77777777" w:rsidTr="00F600C2">
        <w:trPr>
          <w:jc w:val="center"/>
        </w:trPr>
        <w:tc>
          <w:tcPr>
            <w:tcW w:w="0" w:type="auto"/>
            <w:hideMark/>
          </w:tcPr>
          <w:p w14:paraId="1E93A6D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CENTRO ORIENTE - USS Santa Clara</w:t>
            </w:r>
          </w:p>
        </w:tc>
        <w:tc>
          <w:tcPr>
            <w:tcW w:w="0" w:type="auto"/>
            <w:hideMark/>
          </w:tcPr>
          <w:p w14:paraId="21736EAD"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6469B90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0DDE1588" w14:textId="77777777" w:rsidTr="00F600C2">
        <w:trPr>
          <w:jc w:val="center"/>
        </w:trPr>
        <w:tc>
          <w:tcPr>
            <w:tcW w:w="0" w:type="auto"/>
            <w:hideMark/>
          </w:tcPr>
          <w:p w14:paraId="58FD5E6B"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Engativá</w:t>
            </w:r>
          </w:p>
        </w:tc>
        <w:tc>
          <w:tcPr>
            <w:tcW w:w="0" w:type="auto"/>
            <w:hideMark/>
          </w:tcPr>
          <w:p w14:paraId="0B1C111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4EC8F14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7045D351" w14:textId="77777777" w:rsidTr="00F600C2">
        <w:trPr>
          <w:jc w:val="center"/>
        </w:trPr>
        <w:tc>
          <w:tcPr>
            <w:tcW w:w="0" w:type="auto"/>
            <w:hideMark/>
          </w:tcPr>
          <w:p w14:paraId="1BECADDE"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OTROS</w:t>
            </w:r>
          </w:p>
        </w:tc>
        <w:tc>
          <w:tcPr>
            <w:tcW w:w="0" w:type="auto"/>
            <w:hideMark/>
          </w:tcPr>
          <w:p w14:paraId="61D6DE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48</w:t>
            </w:r>
          </w:p>
        </w:tc>
        <w:tc>
          <w:tcPr>
            <w:tcW w:w="0" w:type="auto"/>
            <w:hideMark/>
          </w:tcPr>
          <w:p w14:paraId="0B26F30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24,1%</w:t>
            </w:r>
          </w:p>
        </w:tc>
      </w:tr>
      <w:tr w:rsidR="00F600C2" w:rsidRPr="00F600C2" w14:paraId="73EE902C" w14:textId="77777777" w:rsidTr="00F600C2">
        <w:trPr>
          <w:jc w:val="center"/>
        </w:trPr>
        <w:tc>
          <w:tcPr>
            <w:tcW w:w="0" w:type="auto"/>
            <w:hideMark/>
          </w:tcPr>
          <w:p w14:paraId="41C8B5B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b/>
                <w:bCs/>
                <w:sz w:val="22"/>
                <w:szCs w:val="22"/>
              </w:rPr>
              <w:t>Total</w:t>
            </w:r>
          </w:p>
        </w:tc>
        <w:tc>
          <w:tcPr>
            <w:tcW w:w="0" w:type="auto"/>
            <w:hideMark/>
          </w:tcPr>
          <w:p w14:paraId="4BF0583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199</w:t>
            </w:r>
          </w:p>
        </w:tc>
        <w:tc>
          <w:tcPr>
            <w:tcW w:w="0" w:type="auto"/>
            <w:hideMark/>
          </w:tcPr>
          <w:p w14:paraId="5E761ACA"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100,0%</w:t>
            </w:r>
          </w:p>
        </w:tc>
      </w:tr>
    </w:tbl>
    <w:p w14:paraId="6F83244E" w14:textId="402AA45D" w:rsidR="000E5255" w:rsidRPr="001A7B43" w:rsidRDefault="00972E1E" w:rsidP="006068A2">
      <w:pPr>
        <w:spacing w:line="360" w:lineRule="auto"/>
        <w:jc w:val="both"/>
        <w:rPr>
          <w:rFonts w:ascii="Arial" w:hAnsi="Arial" w:cs="Arial"/>
          <w:sz w:val="16"/>
          <w:szCs w:val="16"/>
          <w:lang w:val="es-ES"/>
        </w:rPr>
      </w:pPr>
      <w:r w:rsidRPr="001A7B43">
        <w:rPr>
          <w:rFonts w:ascii="Arial" w:hAnsi="Arial" w:cs="Arial"/>
          <w:sz w:val="16"/>
          <w:szCs w:val="16"/>
          <w:lang w:val="es-ES"/>
        </w:rPr>
        <w:t>Fuente</w:t>
      </w:r>
      <w:r w:rsidR="000E5255" w:rsidRPr="001A7B43">
        <w:rPr>
          <w:rFonts w:ascii="Arial" w:hAnsi="Arial" w:cs="Arial"/>
          <w:sz w:val="16"/>
          <w:szCs w:val="16"/>
          <w:lang w:val="es-ES"/>
        </w:rPr>
        <w:t xml:space="preserve">: Reporte de Google Forms del </w:t>
      </w:r>
      <w:r w:rsidR="00F1648A" w:rsidRPr="001A7B43">
        <w:rPr>
          <w:rFonts w:ascii="Arial" w:hAnsi="Arial" w:cs="Arial"/>
          <w:sz w:val="16"/>
          <w:szCs w:val="16"/>
          <w:lang w:val="es-ES"/>
        </w:rPr>
        <w:t>Número</w:t>
      </w:r>
      <w:r w:rsidR="000E5255" w:rsidRPr="001A7B43">
        <w:rPr>
          <w:rFonts w:ascii="Arial" w:hAnsi="Arial" w:cs="Arial"/>
          <w:sz w:val="16"/>
          <w:szCs w:val="16"/>
          <w:lang w:val="es-ES"/>
        </w:rPr>
        <w:t xml:space="preserve"> de casos especiales detectados por GAMA (27/05/2025 - 31/01/2026)</w:t>
      </w:r>
    </w:p>
    <w:p w14:paraId="0E72939D" w14:textId="77777777" w:rsidR="000E5255" w:rsidRPr="006068A2" w:rsidRDefault="000E5255" w:rsidP="006068A2">
      <w:pPr>
        <w:spacing w:line="360" w:lineRule="auto"/>
        <w:jc w:val="both"/>
        <w:rPr>
          <w:rFonts w:ascii="Arial" w:hAnsi="Arial" w:cs="Arial"/>
          <w:sz w:val="22"/>
          <w:szCs w:val="22"/>
          <w:lang w:val="es-ES"/>
        </w:rPr>
      </w:pPr>
    </w:p>
    <w:p w14:paraId="1D976C32" w14:textId="77777777" w:rsidR="00B77C1D" w:rsidRPr="00C625FC" w:rsidRDefault="00B77C1D" w:rsidP="00B77C1D">
      <w:pPr>
        <w:spacing w:line="360" w:lineRule="auto"/>
        <w:jc w:val="both"/>
        <w:rPr>
          <w:rFonts w:ascii="Arial" w:hAnsi="Arial" w:cs="Arial"/>
          <w:sz w:val="22"/>
          <w:szCs w:val="22"/>
        </w:rPr>
      </w:pPr>
      <w:r w:rsidRPr="00B77C1D">
        <w:rPr>
          <w:rFonts w:ascii="Arial" w:hAnsi="Arial" w:cs="Arial"/>
          <w:sz w:val="22"/>
          <w:szCs w:val="22"/>
        </w:rPr>
        <w:t>La distribución de los casos dentro de la red muestra una concentración importante en algunas instituciones, especialmente en USS Simón Bolívar (23,1%), USS Meissen (14,1%) y USS Kennedy (10,1%), que en conjunto representan una proporción significativa de los eventos asociados a COOSALUD EPS. Este comportamiento sugiere presiones operativas en puntos específicos de la red, particularmente en instituciones de mediana y alta complejidad, lo que hace necesario fortalecer el monitoreo sobre capacidad resolutiva, tiempos de gestión de remisiones, disponibilidad efectiva de servicios y articulación entre asegurador y prestadores.</w:t>
      </w:r>
    </w:p>
    <w:p w14:paraId="32AB9BC2" w14:textId="77777777" w:rsidR="00B77C1D" w:rsidRPr="00B77C1D" w:rsidRDefault="00B77C1D" w:rsidP="00B77C1D">
      <w:pPr>
        <w:spacing w:line="360" w:lineRule="auto"/>
        <w:jc w:val="both"/>
        <w:rPr>
          <w:rFonts w:ascii="Arial" w:hAnsi="Arial" w:cs="Arial"/>
          <w:sz w:val="22"/>
          <w:szCs w:val="22"/>
        </w:rPr>
      </w:pPr>
    </w:p>
    <w:p w14:paraId="551E8491" w14:textId="77777777" w:rsidR="00B77C1D" w:rsidRPr="00B77C1D" w:rsidRDefault="00B77C1D" w:rsidP="00B77C1D">
      <w:pPr>
        <w:spacing w:line="360" w:lineRule="auto"/>
        <w:jc w:val="both"/>
        <w:rPr>
          <w:rFonts w:ascii="Arial" w:hAnsi="Arial" w:cs="Arial"/>
          <w:sz w:val="22"/>
          <w:szCs w:val="22"/>
        </w:rPr>
      </w:pPr>
      <w:r w:rsidRPr="00B77C1D">
        <w:rPr>
          <w:rFonts w:ascii="Arial" w:hAnsi="Arial" w:cs="Arial"/>
          <w:sz w:val="22"/>
          <w:szCs w:val="22"/>
        </w:rPr>
        <w:t xml:space="preserve">Adicionalmente, el análisis de la categoría agrupada en “otros” permite identificar un subconjunto de casos en IPS no reconocidas en el cruce con la red prestadora reportada por COOSALUD EPS, así como casos que no contaban con desagregación institucional </w:t>
      </w:r>
      <w:r w:rsidRPr="00B77C1D">
        <w:rPr>
          <w:rFonts w:ascii="Arial" w:hAnsi="Arial" w:cs="Arial"/>
          <w:sz w:val="22"/>
          <w:szCs w:val="22"/>
        </w:rPr>
        <w:lastRenderedPageBreak/>
        <w:t>específica en la información suministrada. Este componente resulta relevante porque puede reflejar atenciones fuera de red, inconsistencias en las bases reportadas por la EPS o limitaciones en la calidad y actualización de la información contractual remitida para el ejercicio de seguimiento.</w:t>
      </w:r>
    </w:p>
    <w:p w14:paraId="58C9FC55" w14:textId="77777777" w:rsidR="00454811" w:rsidRPr="00B77C1D" w:rsidRDefault="00454811" w:rsidP="006068A2">
      <w:pPr>
        <w:spacing w:line="360" w:lineRule="auto"/>
        <w:jc w:val="both"/>
        <w:rPr>
          <w:rFonts w:ascii="Arial" w:hAnsi="Arial" w:cs="Arial"/>
          <w:sz w:val="22"/>
          <w:szCs w:val="22"/>
        </w:rPr>
      </w:pPr>
    </w:p>
    <w:p w14:paraId="73E62A4F" w14:textId="19F51F3F" w:rsidR="000E5255"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7" w:name="_Toc229395875"/>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18</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2A6FFD" w:rsidRPr="002A6FFD">
        <w:rPr>
          <w:rFonts w:ascii="Arial" w:hAnsi="Arial" w:cs="Arial"/>
          <w:bCs/>
          <w:i w:val="0"/>
          <w:iCs w:val="0"/>
          <w:color w:val="000000" w:themeColor="text1"/>
          <w:sz w:val="22"/>
          <w:szCs w:val="22"/>
          <w:lang w:val="es-MX"/>
        </w:rPr>
        <w:t>Detalle de casos no identificados en el cruce con la red prestadora reportada por COOSALUD EPS</w:t>
      </w:r>
      <w:r w:rsidR="00583A33">
        <w:rPr>
          <w:rStyle w:val="Refdenotaalpie"/>
          <w:rFonts w:ascii="Arial" w:hAnsi="Arial" w:cs="Arial"/>
          <w:bCs/>
          <w:i w:val="0"/>
          <w:iCs w:val="0"/>
          <w:color w:val="000000" w:themeColor="text1"/>
          <w:sz w:val="22"/>
          <w:szCs w:val="22"/>
          <w:lang w:val="es-MX"/>
        </w:rPr>
        <w:footnoteReference w:id="11"/>
      </w:r>
      <w:r w:rsidR="002A6FFD">
        <w:rPr>
          <w:rFonts w:ascii="Arial" w:hAnsi="Arial" w:cs="Arial"/>
          <w:bCs/>
          <w:i w:val="0"/>
          <w:iCs w:val="0"/>
          <w:color w:val="000000" w:themeColor="text1"/>
          <w:sz w:val="22"/>
          <w:szCs w:val="22"/>
          <w:lang w:val="es-MX"/>
        </w:rPr>
        <w:t>.</w:t>
      </w:r>
      <w:bookmarkEnd w:id="57"/>
    </w:p>
    <w:p w14:paraId="045CC1E6" w14:textId="77777777" w:rsidR="002A6FFD" w:rsidRPr="002A6FFD" w:rsidRDefault="002A6FFD" w:rsidP="002A6FFD">
      <w:pPr>
        <w:rPr>
          <w:lang w:val="es-MX"/>
        </w:rPr>
      </w:pPr>
    </w:p>
    <w:tbl>
      <w:tblPr>
        <w:tblStyle w:val="Tablaconcuadrcula"/>
        <w:tblW w:w="0" w:type="auto"/>
        <w:jc w:val="center"/>
        <w:tblLook w:val="04A0" w:firstRow="1" w:lastRow="0" w:firstColumn="1" w:lastColumn="0" w:noHBand="0" w:noVBand="1"/>
      </w:tblPr>
      <w:tblGrid>
        <w:gridCol w:w="5622"/>
        <w:gridCol w:w="1630"/>
        <w:gridCol w:w="1341"/>
      </w:tblGrid>
      <w:tr w:rsidR="00F0642F" w:rsidRPr="00F0642F" w14:paraId="74A2A580" w14:textId="77777777" w:rsidTr="0061067F">
        <w:trPr>
          <w:jc w:val="center"/>
        </w:trPr>
        <w:tc>
          <w:tcPr>
            <w:tcW w:w="0" w:type="auto"/>
            <w:hideMark/>
          </w:tcPr>
          <w:p w14:paraId="6B2ED92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IPS</w:t>
            </w:r>
          </w:p>
        </w:tc>
        <w:tc>
          <w:tcPr>
            <w:tcW w:w="0" w:type="auto"/>
            <w:hideMark/>
          </w:tcPr>
          <w:p w14:paraId="7F4E6398" w14:textId="33D12F67" w:rsidR="00F0642F" w:rsidRPr="00F0642F" w:rsidRDefault="00E6192C" w:rsidP="00583A33">
            <w:pPr>
              <w:spacing w:line="360" w:lineRule="auto"/>
              <w:jc w:val="center"/>
              <w:rPr>
                <w:rFonts w:ascii="Arial" w:hAnsi="Arial" w:cs="Arial"/>
                <w:b/>
                <w:bCs/>
                <w:sz w:val="22"/>
                <w:szCs w:val="22"/>
              </w:rPr>
            </w:pPr>
            <w:r w:rsidRPr="00F0642F">
              <w:rPr>
                <w:rFonts w:ascii="Arial" w:hAnsi="Arial" w:cs="Arial"/>
                <w:b/>
                <w:bCs/>
                <w:sz w:val="22"/>
                <w:szCs w:val="22"/>
              </w:rPr>
              <w:t>Total,</w:t>
            </w:r>
            <w:r w:rsidR="00F0642F" w:rsidRPr="00F0642F">
              <w:rPr>
                <w:rFonts w:ascii="Arial" w:hAnsi="Arial" w:cs="Arial"/>
                <w:b/>
                <w:bCs/>
                <w:sz w:val="22"/>
                <w:szCs w:val="22"/>
              </w:rPr>
              <w:t xml:space="preserve"> general</w:t>
            </w:r>
          </w:p>
        </w:tc>
        <w:tc>
          <w:tcPr>
            <w:tcW w:w="0" w:type="auto"/>
            <w:hideMark/>
          </w:tcPr>
          <w:p w14:paraId="7D4FACB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Porcentaje</w:t>
            </w:r>
          </w:p>
        </w:tc>
      </w:tr>
      <w:tr w:rsidR="00F0642F" w:rsidRPr="00F0642F" w14:paraId="035C72AF" w14:textId="77777777" w:rsidTr="0061067F">
        <w:trPr>
          <w:jc w:val="center"/>
        </w:trPr>
        <w:tc>
          <w:tcPr>
            <w:tcW w:w="0" w:type="auto"/>
            <w:hideMark/>
          </w:tcPr>
          <w:p w14:paraId="1EB40D6C"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Fundación Cardio Infantil</w:t>
            </w:r>
          </w:p>
        </w:tc>
        <w:tc>
          <w:tcPr>
            <w:tcW w:w="0" w:type="auto"/>
            <w:hideMark/>
          </w:tcPr>
          <w:p w14:paraId="7C73ADB1"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16</w:t>
            </w:r>
          </w:p>
        </w:tc>
        <w:tc>
          <w:tcPr>
            <w:tcW w:w="0" w:type="auto"/>
            <w:hideMark/>
          </w:tcPr>
          <w:p w14:paraId="7CDB47B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8,0%</w:t>
            </w:r>
          </w:p>
        </w:tc>
      </w:tr>
      <w:tr w:rsidR="00F0642F" w:rsidRPr="00F0642F" w14:paraId="23314108" w14:textId="77777777" w:rsidTr="0061067F">
        <w:trPr>
          <w:jc w:val="center"/>
        </w:trPr>
        <w:tc>
          <w:tcPr>
            <w:tcW w:w="0" w:type="auto"/>
            <w:hideMark/>
          </w:tcPr>
          <w:p w14:paraId="0CA866A3"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Instituto Nacional de Cancerología</w:t>
            </w:r>
          </w:p>
        </w:tc>
        <w:tc>
          <w:tcPr>
            <w:tcW w:w="0" w:type="auto"/>
            <w:hideMark/>
          </w:tcPr>
          <w:p w14:paraId="3376447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5</w:t>
            </w:r>
          </w:p>
        </w:tc>
        <w:tc>
          <w:tcPr>
            <w:tcW w:w="0" w:type="auto"/>
            <w:hideMark/>
          </w:tcPr>
          <w:p w14:paraId="5B2E885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2,5%</w:t>
            </w:r>
          </w:p>
        </w:tc>
      </w:tr>
      <w:tr w:rsidR="00F0642F" w:rsidRPr="00F0642F" w14:paraId="6ED8D47A" w14:textId="77777777" w:rsidTr="0061067F">
        <w:trPr>
          <w:jc w:val="center"/>
        </w:trPr>
        <w:tc>
          <w:tcPr>
            <w:tcW w:w="0" w:type="auto"/>
            <w:hideMark/>
          </w:tcPr>
          <w:p w14:paraId="33989810"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Hospital Universitario San Ignacio</w:t>
            </w:r>
          </w:p>
        </w:tc>
        <w:tc>
          <w:tcPr>
            <w:tcW w:w="0" w:type="auto"/>
            <w:hideMark/>
          </w:tcPr>
          <w:p w14:paraId="000E7495"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4</w:t>
            </w:r>
          </w:p>
        </w:tc>
        <w:tc>
          <w:tcPr>
            <w:tcW w:w="0" w:type="auto"/>
            <w:hideMark/>
          </w:tcPr>
          <w:p w14:paraId="459B38A4"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2,0%</w:t>
            </w:r>
          </w:p>
        </w:tc>
      </w:tr>
      <w:tr w:rsidR="00F0642F" w:rsidRPr="00F0642F" w14:paraId="3C6C1004" w14:textId="77777777" w:rsidTr="0061067F">
        <w:trPr>
          <w:jc w:val="center"/>
        </w:trPr>
        <w:tc>
          <w:tcPr>
            <w:tcW w:w="0" w:type="auto"/>
            <w:hideMark/>
          </w:tcPr>
          <w:p w14:paraId="0F5C3F30" w14:textId="30395241" w:rsidR="00F0642F" w:rsidRPr="00F0642F" w:rsidRDefault="007744C2" w:rsidP="00F0642F">
            <w:pPr>
              <w:spacing w:line="360" w:lineRule="auto"/>
              <w:jc w:val="both"/>
              <w:rPr>
                <w:rFonts w:ascii="Arial" w:hAnsi="Arial" w:cs="Arial"/>
                <w:sz w:val="22"/>
                <w:szCs w:val="22"/>
              </w:rPr>
            </w:pPr>
            <w:r w:rsidRPr="00F0642F">
              <w:rPr>
                <w:rFonts w:ascii="Arial" w:hAnsi="Arial" w:cs="Arial"/>
                <w:sz w:val="22"/>
                <w:szCs w:val="22"/>
              </w:rPr>
              <w:t xml:space="preserve">Otros </w:t>
            </w:r>
            <w:r w:rsidR="00F0642F" w:rsidRPr="00F0642F">
              <w:rPr>
                <w:rFonts w:ascii="Arial" w:hAnsi="Arial" w:cs="Arial"/>
                <w:sz w:val="22"/>
                <w:szCs w:val="22"/>
              </w:rPr>
              <w:t>/ casos sin desagregación institucional específica</w:t>
            </w:r>
          </w:p>
        </w:tc>
        <w:tc>
          <w:tcPr>
            <w:tcW w:w="0" w:type="auto"/>
            <w:hideMark/>
          </w:tcPr>
          <w:p w14:paraId="60F0D972"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23</w:t>
            </w:r>
          </w:p>
        </w:tc>
        <w:tc>
          <w:tcPr>
            <w:tcW w:w="0" w:type="auto"/>
            <w:hideMark/>
          </w:tcPr>
          <w:p w14:paraId="12D2CF6C"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11,6%</w:t>
            </w:r>
          </w:p>
        </w:tc>
      </w:tr>
      <w:tr w:rsidR="00F0642F" w:rsidRPr="00F0642F" w14:paraId="1B4E523E" w14:textId="77777777" w:rsidTr="0061067F">
        <w:trPr>
          <w:jc w:val="center"/>
        </w:trPr>
        <w:tc>
          <w:tcPr>
            <w:tcW w:w="0" w:type="auto"/>
            <w:hideMark/>
          </w:tcPr>
          <w:p w14:paraId="18AF429F"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b/>
                <w:bCs/>
                <w:sz w:val="22"/>
                <w:szCs w:val="22"/>
              </w:rPr>
              <w:t>Total</w:t>
            </w:r>
          </w:p>
        </w:tc>
        <w:tc>
          <w:tcPr>
            <w:tcW w:w="0" w:type="auto"/>
            <w:hideMark/>
          </w:tcPr>
          <w:p w14:paraId="169B871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48</w:t>
            </w:r>
          </w:p>
        </w:tc>
        <w:tc>
          <w:tcPr>
            <w:tcW w:w="0" w:type="auto"/>
            <w:hideMark/>
          </w:tcPr>
          <w:p w14:paraId="679A08BE"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24,1%</w:t>
            </w:r>
          </w:p>
        </w:tc>
      </w:tr>
    </w:tbl>
    <w:p w14:paraId="267BA381" w14:textId="77777777" w:rsidR="00F0642F" w:rsidRDefault="00F0642F" w:rsidP="006068A2">
      <w:pPr>
        <w:spacing w:line="360" w:lineRule="auto"/>
        <w:jc w:val="both"/>
        <w:rPr>
          <w:rFonts w:ascii="Arial" w:hAnsi="Arial" w:cs="Arial"/>
          <w:sz w:val="16"/>
          <w:szCs w:val="16"/>
          <w:lang w:val="es-ES"/>
        </w:rPr>
      </w:pPr>
    </w:p>
    <w:p w14:paraId="6AA7E58B" w14:textId="270C85F4" w:rsidR="000E5255" w:rsidRPr="00454811" w:rsidRDefault="00F1648A" w:rsidP="006068A2">
      <w:pPr>
        <w:spacing w:line="360" w:lineRule="auto"/>
        <w:jc w:val="both"/>
        <w:rPr>
          <w:rFonts w:ascii="Arial" w:hAnsi="Arial" w:cs="Arial"/>
          <w:b/>
          <w:bCs/>
          <w:sz w:val="16"/>
          <w:szCs w:val="16"/>
          <w:lang w:val="es-ES"/>
        </w:rPr>
      </w:pPr>
      <w:r w:rsidRPr="00454811">
        <w:rPr>
          <w:rFonts w:ascii="Arial" w:hAnsi="Arial" w:cs="Arial"/>
          <w:sz w:val="16"/>
          <w:szCs w:val="16"/>
          <w:lang w:val="es-ES"/>
        </w:rPr>
        <w:t>Fuente</w:t>
      </w:r>
      <w:r w:rsidR="000E5255" w:rsidRPr="00454811">
        <w:rPr>
          <w:rFonts w:ascii="Arial" w:hAnsi="Arial" w:cs="Arial"/>
          <w:sz w:val="16"/>
          <w:szCs w:val="16"/>
          <w:lang w:val="es-ES"/>
        </w:rPr>
        <w:t xml:space="preserve">: Reporte de Google Forms del </w:t>
      </w:r>
      <w:r w:rsidRPr="00454811">
        <w:rPr>
          <w:rFonts w:ascii="Arial" w:hAnsi="Arial" w:cs="Arial"/>
          <w:sz w:val="16"/>
          <w:szCs w:val="16"/>
          <w:lang w:val="es-ES"/>
        </w:rPr>
        <w:t>Número</w:t>
      </w:r>
      <w:r w:rsidR="000E5255" w:rsidRPr="00454811">
        <w:rPr>
          <w:rFonts w:ascii="Arial" w:hAnsi="Arial" w:cs="Arial"/>
          <w:sz w:val="16"/>
          <w:szCs w:val="16"/>
          <w:lang w:val="es-ES"/>
        </w:rPr>
        <w:t xml:space="preserve"> de casos especiales detectados por GAMA (27/05/2025 - 31/01/2026)</w:t>
      </w:r>
    </w:p>
    <w:p w14:paraId="2B4761B7" w14:textId="77777777" w:rsidR="000E5255" w:rsidRPr="006068A2" w:rsidRDefault="000E5255" w:rsidP="006068A2">
      <w:pPr>
        <w:spacing w:line="360" w:lineRule="auto"/>
        <w:jc w:val="both"/>
        <w:rPr>
          <w:rFonts w:ascii="Arial" w:hAnsi="Arial" w:cs="Arial"/>
          <w:sz w:val="22"/>
          <w:szCs w:val="22"/>
          <w:lang w:val="es-ES"/>
        </w:rPr>
      </w:pPr>
    </w:p>
    <w:p w14:paraId="5BB7433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Como se observa en la Tabla 18, del total de eventos asociados a la categoría agrupada fuera del detalle principal de red, 25 casos (12,6%) se concentraron en tres IPS específicas no identificadas en el cruce con la red reportada por la EPS, mientras que 23 casos (11,6%) permanecieron sin desagregación institucional específica. Este resultado evidencia una limitación metodológica importante en la trazabilidad de los eventos y sugiere la necesidad de fortalecer la consistencia, actualización y depuración de la información de red prestadora reportada por la entidad.</w:t>
      </w:r>
    </w:p>
    <w:p w14:paraId="504A4CBD" w14:textId="77777777" w:rsidR="00717507" w:rsidRPr="00336F23" w:rsidRDefault="00717507" w:rsidP="00336F23">
      <w:pPr>
        <w:spacing w:line="360" w:lineRule="auto"/>
        <w:jc w:val="both"/>
        <w:rPr>
          <w:rFonts w:ascii="Arial" w:eastAsia="Arial" w:hAnsi="Arial" w:cs="Arial"/>
          <w:sz w:val="22"/>
          <w:szCs w:val="22"/>
        </w:rPr>
      </w:pPr>
    </w:p>
    <w:p w14:paraId="209AC96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 xml:space="preserve">En conjunto, los resultados del seguimiento realizado por GAMA evidencian una problemática relevante en la oportunidad y efectividad de los procesos de referencia, remisión, traslado e interconsulta para los afiliados de COOSALUD EPS, con tiempos superiores a 24 horas. El hecho de que tres de cada cuatro casos se concentren en IPS incluidas dentro de la red contratada indica que las dificultades observadas no se relacionan </w:t>
      </w:r>
      <w:r w:rsidRPr="00336F23">
        <w:rPr>
          <w:rFonts w:ascii="Arial" w:eastAsia="Arial" w:hAnsi="Arial" w:cs="Arial"/>
          <w:sz w:val="22"/>
          <w:szCs w:val="22"/>
        </w:rPr>
        <w:lastRenderedPageBreak/>
        <w:t>exclusivamente con eventos de atención fuera de red, sino también con debilidades en la gestión operativa, en la coordinación funcional de la red y en la capacidad de respuesta efectiva de los prestadores vinculados.</w:t>
      </w:r>
    </w:p>
    <w:p w14:paraId="339ED7B7" w14:textId="77777777" w:rsidR="00336F23" w:rsidRPr="00336F23" w:rsidRDefault="00336F23" w:rsidP="00336F23">
      <w:pPr>
        <w:spacing w:line="360" w:lineRule="auto"/>
        <w:jc w:val="both"/>
        <w:rPr>
          <w:rFonts w:ascii="Arial" w:eastAsia="Arial" w:hAnsi="Arial" w:cs="Arial"/>
          <w:sz w:val="22"/>
          <w:szCs w:val="22"/>
        </w:rPr>
      </w:pPr>
    </w:p>
    <w:p w14:paraId="6D2D839A"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Desde la perspectiva del aseguramiento, este comportamiento puede traducirse en mayores barreras para el acceso oportuno a servicios especializados, retrasos en la continuidad de la atención y aumento del riesgo clínico en usuarios que requieren resolución rápida de sus necesidades asistenciales. En particular, la concentración de eventos en instituciones de alta demanda obliga a revisar la suficiencia de red, la oportunidad real de los mecanismos de referencia y contrarreferencia, la gestión de disponibilidad de servicios y la articulación entre los diferentes niveles de atención.</w:t>
      </w:r>
    </w:p>
    <w:p w14:paraId="29AA0BCA" w14:textId="77777777" w:rsidR="00336F23" w:rsidRPr="00336F23" w:rsidRDefault="00336F23" w:rsidP="00336F23">
      <w:pPr>
        <w:spacing w:line="360" w:lineRule="auto"/>
        <w:jc w:val="both"/>
        <w:rPr>
          <w:rFonts w:ascii="Arial" w:eastAsia="Arial" w:hAnsi="Arial" w:cs="Arial"/>
          <w:sz w:val="22"/>
          <w:szCs w:val="22"/>
        </w:rPr>
      </w:pPr>
    </w:p>
    <w:p w14:paraId="061EAF92"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En este contexto, COOSALUD EPS requiere fortalecer de manera prioritaria la gestión de su red prestadora, especialmente en los componentes de seguimiento a prestadores con mayor recurrencia de casos, oportunidad en la respuesta a remisiones, actualización permanente de la red contratada y calidad de la información reportada para el seguimiento territorial. Igualmente, se hace necesario mejorar la trazabilidad de los casos que no logran ser clasificados con claridad dentro de la red, con el fin de reducir vacíos de información que limiten la toma de decisiones correctivas.</w:t>
      </w:r>
    </w:p>
    <w:p w14:paraId="52E1E612" w14:textId="77777777" w:rsidR="00336F23" w:rsidRPr="00336F23" w:rsidRDefault="00336F23" w:rsidP="00336F23">
      <w:pPr>
        <w:spacing w:line="360" w:lineRule="auto"/>
        <w:jc w:val="both"/>
        <w:rPr>
          <w:rFonts w:ascii="Arial" w:eastAsia="Arial" w:hAnsi="Arial" w:cs="Arial"/>
          <w:sz w:val="22"/>
          <w:szCs w:val="22"/>
        </w:rPr>
      </w:pPr>
    </w:p>
    <w:p w14:paraId="62423AFF" w14:textId="49FA90F2" w:rsidR="00336F23" w:rsidRP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 xml:space="preserve">En </w:t>
      </w:r>
      <w:r w:rsidR="00583A33">
        <w:rPr>
          <w:rFonts w:ascii="Arial" w:eastAsia="Arial" w:hAnsi="Arial" w:cs="Arial"/>
          <w:sz w:val="22"/>
          <w:szCs w:val="22"/>
        </w:rPr>
        <w:t>síntesis</w:t>
      </w:r>
      <w:r w:rsidRPr="00336F23">
        <w:rPr>
          <w:rFonts w:ascii="Arial" w:eastAsia="Arial" w:hAnsi="Arial" w:cs="Arial"/>
          <w:sz w:val="22"/>
          <w:szCs w:val="22"/>
        </w:rPr>
        <w:t>, aunque COOSALUD EPS representa el 2,2% del total de casos identificados por GAMA en el periodo analizado, la magnitud absoluta de los eventos detectados y su concentración en IPS de la propia red prestadora evidencian la necesidad de implementar acciones correctivas y preventivas orientadas a mejorar la oportunidad en la atención, optimizar la gestión de la red, fortalecer los procesos de referencia y contrarreferencia y garantizar una capacidad de respuesta más efectiva frente a la demanda asistencial. Estas acciones resultan fundamentales para asegurar el acceso oportuno, continuo y de calidad a los servicios de salud, en concordancia con los principios de integralidad, eficiencia y protección del derecho fundamental a la salud.</w:t>
      </w:r>
    </w:p>
    <w:p w14:paraId="2CC7449C" w14:textId="77777777" w:rsidR="00913C12" w:rsidRPr="00336F23" w:rsidRDefault="00913C12" w:rsidP="006068A2">
      <w:pPr>
        <w:spacing w:line="360" w:lineRule="auto"/>
        <w:jc w:val="both"/>
        <w:rPr>
          <w:rFonts w:ascii="Arial" w:eastAsia="Arial" w:hAnsi="Arial" w:cs="Arial"/>
          <w:sz w:val="22"/>
          <w:szCs w:val="22"/>
        </w:rPr>
      </w:pPr>
    </w:p>
    <w:p w14:paraId="53C9BFB0" w14:textId="4A16D059" w:rsidR="00913C12" w:rsidRPr="00CE7728" w:rsidRDefault="00913C12" w:rsidP="00CE7728">
      <w:pPr>
        <w:pStyle w:val="Ttulo2"/>
        <w:numPr>
          <w:ilvl w:val="1"/>
          <w:numId w:val="9"/>
        </w:numPr>
        <w:spacing w:before="0" w:line="360" w:lineRule="auto"/>
        <w:jc w:val="both"/>
        <w:rPr>
          <w:rStyle w:val="eop"/>
          <w:rFonts w:ascii="Arial" w:hAnsi="Arial" w:cs="Arial"/>
          <w:b/>
          <w:bCs/>
          <w:color w:val="000000"/>
          <w:sz w:val="22"/>
          <w:szCs w:val="22"/>
        </w:rPr>
      </w:pPr>
      <w:bookmarkStart w:id="58" w:name="_Toc229397855"/>
      <w:r w:rsidRPr="00CE7728">
        <w:rPr>
          <w:rFonts w:ascii="Arial" w:eastAsia="Arial" w:hAnsi="Arial" w:cs="Arial"/>
          <w:b/>
          <w:bCs/>
          <w:color w:val="000000" w:themeColor="text1"/>
          <w:sz w:val="22"/>
          <w:szCs w:val="22"/>
          <w:lang w:val="es"/>
        </w:rPr>
        <w:t xml:space="preserve">Análisis </w:t>
      </w:r>
      <w:r w:rsidR="00CE7728" w:rsidRPr="00CE7728">
        <w:rPr>
          <w:rFonts w:ascii="Arial" w:eastAsia="Arial" w:hAnsi="Arial" w:cs="Arial"/>
          <w:b/>
          <w:bCs/>
          <w:color w:val="000000" w:themeColor="text1"/>
          <w:sz w:val="22"/>
          <w:szCs w:val="22"/>
          <w:lang w:val="es"/>
        </w:rPr>
        <w:t xml:space="preserve">COOSALUD </w:t>
      </w:r>
      <w:r w:rsidR="00CE7728">
        <w:rPr>
          <w:rFonts w:ascii="Arial" w:eastAsia="Arial" w:hAnsi="Arial" w:cs="Arial"/>
          <w:b/>
          <w:bCs/>
          <w:color w:val="000000" w:themeColor="text1"/>
          <w:sz w:val="22"/>
          <w:szCs w:val="22"/>
          <w:lang w:val="es"/>
        </w:rPr>
        <w:t xml:space="preserve">EPS </w:t>
      </w:r>
      <w:r w:rsidRPr="00CE7728">
        <w:rPr>
          <w:rFonts w:ascii="Arial" w:eastAsia="Arial" w:hAnsi="Arial" w:cs="Arial"/>
          <w:b/>
          <w:bCs/>
          <w:color w:val="000000" w:themeColor="text1"/>
          <w:sz w:val="22"/>
          <w:szCs w:val="22"/>
          <w:lang w:val="es"/>
        </w:rPr>
        <w:t>oportunidad en la asignación de citas médicas</w:t>
      </w:r>
      <w:bookmarkEnd w:id="58"/>
      <w:r w:rsidRPr="00CE7728">
        <w:rPr>
          <w:rFonts w:ascii="Arial" w:eastAsia="Arial" w:hAnsi="Arial" w:cs="Arial"/>
          <w:b/>
          <w:bCs/>
          <w:color w:val="000000" w:themeColor="text1"/>
          <w:sz w:val="22"/>
          <w:szCs w:val="22"/>
          <w:lang w:val="es"/>
        </w:rPr>
        <w:t> </w:t>
      </w:r>
    </w:p>
    <w:p w14:paraId="03F18B87" w14:textId="77777777" w:rsidR="00BC4FB1" w:rsidRPr="00BC4FB1" w:rsidRDefault="00BC4FB1" w:rsidP="00BC4FB1">
      <w:pPr>
        <w:spacing w:line="360" w:lineRule="auto"/>
        <w:jc w:val="both"/>
        <w:rPr>
          <w:rFonts w:ascii="Arial" w:hAnsi="Arial" w:cs="Arial"/>
          <w:sz w:val="22"/>
          <w:szCs w:val="22"/>
        </w:rPr>
      </w:pPr>
    </w:p>
    <w:p w14:paraId="02A03201" w14:textId="77777777" w:rsidR="005443E8" w:rsidRPr="005443E8" w:rsidRDefault="005443E8" w:rsidP="005D0A76">
      <w:pPr>
        <w:spacing w:line="360" w:lineRule="auto"/>
        <w:jc w:val="both"/>
        <w:rPr>
          <w:rFonts w:ascii="Arial" w:hAnsi="Arial" w:cs="Arial"/>
          <w:sz w:val="22"/>
          <w:szCs w:val="22"/>
        </w:rPr>
      </w:pPr>
      <w:r w:rsidRPr="005443E8">
        <w:rPr>
          <w:rFonts w:ascii="Arial" w:hAnsi="Arial" w:cs="Arial"/>
          <w:sz w:val="22"/>
          <w:szCs w:val="22"/>
        </w:rPr>
        <w:lastRenderedPageBreak/>
        <w:t>En el marco del análisis de la oportunidad en la asignación de citas médicas por parte de COOSALUD EPS, la Secretaría Distrital de Salud solicitó en dos oportunidades la remisión de la información técnica y los soportes documentales requeridos para evaluar este componente, mediante los radicados No. 2026-EE-20276 y 2026-EE-23445, sin que a la fecha se hubiera recibido respuesta por parte de la entidad.</w:t>
      </w:r>
    </w:p>
    <w:p w14:paraId="56AB0B2E" w14:textId="77777777" w:rsidR="005443E8" w:rsidRPr="005443E8" w:rsidRDefault="005443E8" w:rsidP="005D0A76">
      <w:pPr>
        <w:spacing w:line="360" w:lineRule="auto"/>
        <w:jc w:val="both"/>
        <w:rPr>
          <w:rFonts w:ascii="Arial" w:hAnsi="Arial" w:cs="Arial"/>
          <w:sz w:val="22"/>
          <w:szCs w:val="22"/>
        </w:rPr>
      </w:pPr>
    </w:p>
    <w:p w14:paraId="7AD8D41A" w14:textId="77777777" w:rsidR="005443E8" w:rsidRPr="005443E8" w:rsidRDefault="005443E8" w:rsidP="005D0A76">
      <w:pPr>
        <w:spacing w:line="360" w:lineRule="auto"/>
        <w:jc w:val="both"/>
        <w:rPr>
          <w:rFonts w:ascii="Arial" w:hAnsi="Arial" w:cs="Arial"/>
          <w:sz w:val="22"/>
          <w:szCs w:val="22"/>
        </w:rPr>
      </w:pPr>
      <w:r w:rsidRPr="005443E8">
        <w:rPr>
          <w:rFonts w:ascii="Arial" w:hAnsi="Arial" w:cs="Arial"/>
          <w:sz w:val="22"/>
          <w:szCs w:val="22"/>
        </w:rPr>
        <w:t>Ante la ausencia de información y con el fin de obtener directamente los insumos necesarios para la verificación, se adelantó visita administrativa en cumplimiento del Auto de Visita del 22 de marzo de 2026, la cual fue practicada el 26 de marzo de 2026. Durante el desarrollo de esta actuación, COOSALUD EPS tampoco suministró la información requerida para analizar la oportunidad en la asignación de citas médicas, pese a haber sido solicitada de manera formal.</w:t>
      </w:r>
    </w:p>
    <w:p w14:paraId="6B4DEBF8" w14:textId="77777777" w:rsidR="005443E8" w:rsidRPr="005443E8" w:rsidRDefault="005443E8" w:rsidP="005D0A76">
      <w:pPr>
        <w:spacing w:line="360" w:lineRule="auto"/>
        <w:jc w:val="both"/>
        <w:rPr>
          <w:rFonts w:ascii="Arial" w:hAnsi="Arial" w:cs="Arial"/>
          <w:sz w:val="22"/>
          <w:szCs w:val="22"/>
        </w:rPr>
      </w:pPr>
    </w:p>
    <w:p w14:paraId="7CFD9E79" w14:textId="2762731E" w:rsidR="00BC4FB1" w:rsidRDefault="005443E8" w:rsidP="005D0A76">
      <w:pPr>
        <w:spacing w:line="360" w:lineRule="auto"/>
        <w:jc w:val="both"/>
        <w:rPr>
          <w:rFonts w:ascii="Arial" w:hAnsi="Arial" w:cs="Arial"/>
          <w:sz w:val="22"/>
          <w:szCs w:val="22"/>
        </w:rPr>
      </w:pPr>
      <w:r w:rsidRPr="005443E8">
        <w:rPr>
          <w:rFonts w:ascii="Arial" w:hAnsi="Arial" w:cs="Arial"/>
          <w:sz w:val="22"/>
          <w:szCs w:val="22"/>
        </w:rPr>
        <w:t>En consecuencia, no se cuenta con información técnica, documental ni verificable suficiente para adelantar el análisis correspondiente a este componente. Esta situación limita la evaluación integral por parte de la Entidad Territorial y restringe la verificación del cumplimiento de las obligaciones de COOSALUD EPS en materia de acceso oportuno a la consulta y de gestión efectiva de la asignación de citas médicas para la población afiliada.</w:t>
      </w:r>
    </w:p>
    <w:p w14:paraId="75149049" w14:textId="77777777" w:rsidR="005443E8" w:rsidRPr="00BC4FB1" w:rsidRDefault="005443E8" w:rsidP="005443E8"/>
    <w:p w14:paraId="6E68B85B" w14:textId="40ABA97D" w:rsidR="000C4AE0" w:rsidRPr="006068A2" w:rsidRDefault="00DA68C7" w:rsidP="004D7781">
      <w:pPr>
        <w:pStyle w:val="Ttulo1"/>
        <w:numPr>
          <w:ilvl w:val="0"/>
          <w:numId w:val="9"/>
        </w:numPr>
        <w:spacing w:before="0" w:line="360" w:lineRule="auto"/>
        <w:jc w:val="both"/>
        <w:rPr>
          <w:rFonts w:ascii="Arial" w:hAnsi="Arial" w:cs="Arial"/>
          <w:b/>
          <w:bCs/>
          <w:color w:val="auto"/>
          <w:sz w:val="22"/>
          <w:szCs w:val="22"/>
          <w:lang w:val="es-ES"/>
        </w:rPr>
      </w:pPr>
      <w:bookmarkStart w:id="59" w:name="_Toc229397856"/>
      <w:bookmarkEnd w:id="53"/>
      <w:r w:rsidRPr="006068A2">
        <w:rPr>
          <w:rFonts w:ascii="Arial" w:hAnsi="Arial" w:cs="Arial"/>
          <w:b/>
          <w:bCs/>
          <w:color w:val="auto"/>
          <w:sz w:val="22"/>
          <w:szCs w:val="22"/>
          <w:lang w:val="es-ES"/>
        </w:rPr>
        <w:t>MEDICAMENTOS</w:t>
      </w:r>
      <w:bookmarkEnd w:id="59"/>
    </w:p>
    <w:p w14:paraId="42756F7F" w14:textId="77777777" w:rsidR="006125C9" w:rsidRPr="006068A2" w:rsidRDefault="006125C9" w:rsidP="006068A2">
      <w:pPr>
        <w:shd w:val="clear" w:color="auto" w:fill="FFFFFF"/>
        <w:spacing w:line="360" w:lineRule="auto"/>
        <w:jc w:val="both"/>
        <w:rPr>
          <w:rFonts w:ascii="Arial" w:hAnsi="Arial" w:cs="Arial"/>
          <w:sz w:val="22"/>
          <w:szCs w:val="22"/>
        </w:rPr>
      </w:pPr>
    </w:p>
    <w:p w14:paraId="7B764CAB" w14:textId="0D1B88E5" w:rsidR="007013EA" w:rsidRPr="006068A2" w:rsidRDefault="007013EA" w:rsidP="004D7781">
      <w:pPr>
        <w:pStyle w:val="Ttulo2"/>
        <w:numPr>
          <w:ilvl w:val="1"/>
          <w:numId w:val="9"/>
        </w:numPr>
        <w:spacing w:before="0" w:line="360" w:lineRule="auto"/>
        <w:jc w:val="both"/>
        <w:rPr>
          <w:rFonts w:ascii="Arial" w:hAnsi="Arial" w:cs="Arial"/>
          <w:b/>
          <w:bCs/>
          <w:color w:val="auto"/>
          <w:sz w:val="22"/>
          <w:szCs w:val="22"/>
          <w:bdr w:val="none" w:sz="0" w:space="0" w:color="auto" w:frame="1"/>
        </w:rPr>
      </w:pPr>
      <w:bookmarkStart w:id="60" w:name="_Toc229397857"/>
      <w:r w:rsidRPr="006068A2">
        <w:rPr>
          <w:rFonts w:ascii="Arial" w:hAnsi="Arial" w:cs="Arial"/>
          <w:b/>
          <w:bCs/>
          <w:color w:val="auto"/>
          <w:sz w:val="22"/>
          <w:szCs w:val="22"/>
        </w:rPr>
        <w:t>Análisis de</w:t>
      </w:r>
      <w:r w:rsidR="0045406A" w:rsidRPr="006068A2">
        <w:rPr>
          <w:rFonts w:ascii="Arial" w:hAnsi="Arial" w:cs="Arial"/>
          <w:b/>
          <w:bCs/>
          <w:color w:val="auto"/>
          <w:sz w:val="22"/>
          <w:szCs w:val="22"/>
        </w:rPr>
        <w:t xml:space="preserve"> </w:t>
      </w:r>
      <w:r w:rsidRPr="006068A2">
        <w:rPr>
          <w:rFonts w:ascii="Arial" w:hAnsi="Arial" w:cs="Arial"/>
          <w:b/>
          <w:bCs/>
          <w:color w:val="auto"/>
          <w:sz w:val="22"/>
          <w:szCs w:val="22"/>
        </w:rPr>
        <w:t xml:space="preserve">información </w:t>
      </w:r>
      <w:r w:rsidR="00D27DB3" w:rsidRPr="006068A2">
        <w:rPr>
          <w:rFonts w:ascii="Arial" w:hAnsi="Arial" w:cs="Arial"/>
          <w:b/>
          <w:bCs/>
          <w:color w:val="auto"/>
          <w:sz w:val="22"/>
          <w:szCs w:val="22"/>
        </w:rPr>
        <w:t xml:space="preserve">del servicio farmacéutico </w:t>
      </w:r>
      <w:r w:rsidRPr="006068A2">
        <w:rPr>
          <w:rFonts w:ascii="Arial" w:hAnsi="Arial" w:cs="Arial"/>
          <w:b/>
          <w:bCs/>
          <w:color w:val="auto"/>
          <w:sz w:val="22"/>
          <w:szCs w:val="22"/>
        </w:rPr>
        <w:t xml:space="preserve">aportada por </w:t>
      </w:r>
      <w:r w:rsidR="00B37DA5" w:rsidRPr="006068A2">
        <w:rPr>
          <w:rFonts w:ascii="Arial" w:hAnsi="Arial" w:cs="Arial"/>
          <w:b/>
          <w:bCs/>
          <w:color w:val="auto"/>
          <w:sz w:val="22"/>
          <w:szCs w:val="22"/>
        </w:rPr>
        <w:t>COOSALUD</w:t>
      </w:r>
      <w:bookmarkEnd w:id="60"/>
    </w:p>
    <w:p w14:paraId="7AAF3A08" w14:textId="77777777" w:rsidR="00714F6A" w:rsidRPr="006068A2" w:rsidRDefault="00714F6A" w:rsidP="006068A2">
      <w:pPr>
        <w:shd w:val="clear" w:color="auto" w:fill="FFFFFF"/>
        <w:spacing w:line="360" w:lineRule="auto"/>
        <w:jc w:val="both"/>
        <w:rPr>
          <w:rFonts w:ascii="Arial" w:hAnsi="Arial" w:cs="Arial"/>
          <w:color w:val="000000"/>
          <w:sz w:val="22"/>
          <w:szCs w:val="22"/>
          <w:bdr w:val="none" w:sz="0" w:space="0" w:color="auto" w:frame="1"/>
          <w:lang w:val="es-ES" w:eastAsia="es-ES"/>
        </w:rPr>
      </w:pPr>
    </w:p>
    <w:p w14:paraId="4A7666A4" w14:textId="37DB35E5"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 xml:space="preserve">En el marco del requerimiento de información, se solicitó a </w:t>
      </w:r>
      <w:r w:rsidR="00C72ACD" w:rsidRPr="006068A2">
        <w:rPr>
          <w:rFonts w:ascii="Arial" w:hAnsi="Arial" w:cs="Arial"/>
          <w:color w:val="000000"/>
          <w:sz w:val="22"/>
          <w:szCs w:val="22"/>
          <w:bdr w:val="none" w:sz="0" w:space="0" w:color="auto" w:frame="1"/>
          <w:lang w:val="es-ES" w:eastAsia="es-ES"/>
        </w:rPr>
        <w:t xml:space="preserve">COOSALUD </w:t>
      </w:r>
      <w:r w:rsidRPr="006068A2">
        <w:rPr>
          <w:rFonts w:ascii="Arial" w:hAnsi="Arial" w:cs="Arial"/>
          <w:color w:val="000000"/>
          <w:sz w:val="22"/>
          <w:szCs w:val="22"/>
          <w:bdr w:val="none" w:sz="0" w:space="0" w:color="auto" w:frame="1"/>
          <w:lang w:val="es-ES" w:eastAsia="es-ES"/>
        </w:rPr>
        <w:t>EPS el reporte correspondiente en dos (2) oportunidades, mediante los radicados No. 2026-EE-20276 y 2026-EE-23445, sin obtener respuesta.</w:t>
      </w:r>
    </w:p>
    <w:p w14:paraId="5FDB3D29" w14:textId="0CFAB120" w:rsidR="00B37DA5" w:rsidRPr="006068A2" w:rsidRDefault="00714F6A" w:rsidP="006068A2">
      <w:pPr>
        <w:shd w:val="clear" w:color="auto" w:fill="FFFFFF"/>
        <w:spacing w:line="360" w:lineRule="auto"/>
        <w:jc w:val="both"/>
        <w:rPr>
          <w:rFonts w:ascii="Arial" w:hAnsi="Arial" w:cs="Arial"/>
          <w:sz w:val="22"/>
          <w:szCs w:val="22"/>
        </w:rPr>
      </w:pPr>
      <w:r w:rsidRPr="006068A2">
        <w:rPr>
          <w:rFonts w:ascii="Arial" w:hAnsi="Arial" w:cs="Arial"/>
          <w:color w:val="000000"/>
          <w:sz w:val="22"/>
          <w:szCs w:val="22"/>
          <w:bdr w:val="none" w:sz="0" w:space="0" w:color="auto" w:frame="1"/>
          <w:lang w:val="es-ES" w:eastAsia="es-ES"/>
        </w:rPr>
        <w:br/>
        <w:t>Ante la falta de remisión de la información, se adelantó visita administrativa en cumpli</w:t>
      </w:r>
      <w:r w:rsidR="00B37DA5" w:rsidRPr="006068A2">
        <w:rPr>
          <w:rFonts w:ascii="Arial" w:hAnsi="Arial" w:cs="Arial"/>
          <w:color w:val="000000"/>
          <w:sz w:val="22"/>
          <w:szCs w:val="22"/>
          <w:bdr w:val="none" w:sz="0" w:space="0" w:color="auto" w:frame="1"/>
          <w:lang w:val="es-ES" w:eastAsia="es-ES"/>
        </w:rPr>
        <w:t>miento del Auto de Visita del 22</w:t>
      </w:r>
      <w:r w:rsidRPr="006068A2">
        <w:rPr>
          <w:rFonts w:ascii="Arial" w:hAnsi="Arial" w:cs="Arial"/>
          <w:color w:val="000000"/>
          <w:sz w:val="22"/>
          <w:szCs w:val="22"/>
          <w:bdr w:val="none" w:sz="0" w:space="0" w:color="auto" w:frame="1"/>
          <w:lang w:val="es-ES" w:eastAsia="es-ES"/>
        </w:rPr>
        <w:t xml:space="preserve"> de marzo de 2</w:t>
      </w:r>
      <w:r w:rsidR="00B37DA5" w:rsidRPr="006068A2">
        <w:rPr>
          <w:rFonts w:ascii="Arial" w:hAnsi="Arial" w:cs="Arial"/>
          <w:color w:val="000000"/>
          <w:sz w:val="22"/>
          <w:szCs w:val="22"/>
          <w:bdr w:val="none" w:sz="0" w:space="0" w:color="auto" w:frame="1"/>
          <w:lang w:val="es-ES" w:eastAsia="es-ES"/>
        </w:rPr>
        <w:t>026, la cual fue ejecutada el 27</w:t>
      </w:r>
      <w:r w:rsidRPr="006068A2">
        <w:rPr>
          <w:rFonts w:ascii="Arial" w:hAnsi="Arial" w:cs="Arial"/>
          <w:color w:val="000000"/>
          <w:sz w:val="22"/>
          <w:szCs w:val="22"/>
          <w:bdr w:val="none" w:sz="0" w:space="0" w:color="auto" w:frame="1"/>
          <w:lang w:val="es-ES" w:eastAsia="es-ES"/>
        </w:rPr>
        <w:t xml:space="preserve"> de marzo de 2026. </w:t>
      </w:r>
    </w:p>
    <w:p w14:paraId="78C62D20" w14:textId="62B972F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En el marco del seguimiento a la red farmacéutica reportada en la página web de COOSALUD EPS (</w:t>
      </w:r>
      <w:hyperlink r:id="rId29" w:tgtFrame="_new" w:history="1">
        <w:r w:rsidRPr="006068A2">
          <w:rPr>
            <w:rStyle w:val="Hipervnculo"/>
            <w:rFonts w:ascii="Arial" w:hAnsi="Arial" w:cs="Arial"/>
            <w:sz w:val="22"/>
            <w:szCs w:val="22"/>
          </w:rPr>
          <w:t>https://coosalud.com/centros-de-atencion-contributivo/</w:t>
        </w:r>
      </w:hyperlink>
      <w:r w:rsidRPr="006068A2">
        <w:rPr>
          <w:rFonts w:ascii="Arial" w:hAnsi="Arial" w:cs="Arial"/>
          <w:sz w:val="22"/>
          <w:szCs w:val="22"/>
        </w:rPr>
        <w:t>), la Secretaría Distrital de Salud (SDS) realizó visitas de verificación a puntos de dispensación de medicamentos ubicados en las lo</w:t>
      </w:r>
      <w:r w:rsidR="00C82CF7" w:rsidRPr="006068A2">
        <w:rPr>
          <w:rFonts w:ascii="Arial" w:hAnsi="Arial" w:cs="Arial"/>
          <w:sz w:val="22"/>
          <w:szCs w:val="22"/>
        </w:rPr>
        <w:t>calidades de Kennedy,</w:t>
      </w:r>
      <w:r w:rsidRPr="006068A2">
        <w:rPr>
          <w:rFonts w:ascii="Arial" w:hAnsi="Arial" w:cs="Arial"/>
          <w:sz w:val="22"/>
          <w:szCs w:val="22"/>
        </w:rPr>
        <w:t xml:space="preserve"> Suba, incluyendo el operador </w:t>
      </w:r>
      <w:r w:rsidRPr="006068A2">
        <w:rPr>
          <w:rFonts w:ascii="Arial" w:hAnsi="Arial" w:cs="Arial"/>
          <w:sz w:val="22"/>
          <w:szCs w:val="22"/>
        </w:rPr>
        <w:lastRenderedPageBreak/>
        <w:t xml:space="preserve">farmacéutico </w:t>
      </w:r>
      <w:proofErr w:type="spellStart"/>
      <w:r w:rsidRPr="006068A2">
        <w:rPr>
          <w:rFonts w:ascii="Arial" w:hAnsi="Arial" w:cs="Arial"/>
          <w:sz w:val="22"/>
          <w:szCs w:val="22"/>
        </w:rPr>
        <w:t>Surti</w:t>
      </w:r>
      <w:proofErr w:type="spellEnd"/>
      <w:r w:rsidRPr="006068A2">
        <w:rPr>
          <w:rFonts w:ascii="Arial" w:hAnsi="Arial" w:cs="Arial"/>
          <w:sz w:val="22"/>
          <w:szCs w:val="22"/>
        </w:rPr>
        <w:t xml:space="preserve"> Drogas del Occidente, ubicado en la Carrera 106 A #70A – 37, barrio Bosques de Mariana. El propósito de estas visitas fue constatar la existencia, operación y condiciones básicas de funcionamiento de los puntos, así como verificar la correspondencia entre la información reportada por la EPS y lo evidenciado en terreno.</w:t>
      </w:r>
    </w:p>
    <w:p w14:paraId="3D25CC51" w14:textId="77777777" w:rsidR="00BC4FB1" w:rsidRPr="006068A2" w:rsidRDefault="00BC4FB1" w:rsidP="006068A2">
      <w:pPr>
        <w:shd w:val="clear" w:color="auto" w:fill="FFFFFF"/>
        <w:spacing w:line="360" w:lineRule="auto"/>
        <w:jc w:val="both"/>
        <w:rPr>
          <w:rFonts w:ascii="Arial" w:hAnsi="Arial" w:cs="Arial"/>
          <w:sz w:val="22"/>
          <w:szCs w:val="22"/>
        </w:rPr>
      </w:pPr>
    </w:p>
    <w:p w14:paraId="65BE1FA8"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Como resultado de la visita realizada el 27 de marzo de 2026, se verificó que, en términos generales, los puntos de dispensación reportados por COOSALUD EPS se encuentran en funcionamiento y cumplen con condiciones básicas de operación. Se evidenció la existencia de identificación visible del gestor farmacéutico, soporte contractual vigente, horarios de atención publicados y la implementación de mecanismos de priorización para poblaciones especiales como gestantes, niños, personas mayores y otros grupos priorizados. Esto permite concluir que, en su mayoría, la red farmacéutica presenta condiciones acordes con lo reportado por la EPS.</w:t>
      </w:r>
    </w:p>
    <w:p w14:paraId="4860C799" w14:textId="77777777" w:rsidR="00BC4FB1" w:rsidRPr="006068A2" w:rsidRDefault="00BC4FB1" w:rsidP="006068A2">
      <w:pPr>
        <w:shd w:val="clear" w:color="auto" w:fill="FFFFFF"/>
        <w:spacing w:line="360" w:lineRule="auto"/>
        <w:jc w:val="both"/>
        <w:rPr>
          <w:rFonts w:ascii="Arial" w:hAnsi="Arial" w:cs="Arial"/>
          <w:sz w:val="22"/>
          <w:szCs w:val="22"/>
        </w:rPr>
      </w:pPr>
    </w:p>
    <w:p w14:paraId="49D153C3" w14:textId="56D96E0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No obstante, se identificaron hallazgos relevantes que requieren atención y ajuste por parte de la entidad. En la localidad de Suba, se evidenció que el dispensario atiende exclusivamente a afiliados de COOSALUD, lo cual podría limitar el acceso en escenarios de movilidad o generar barreras en la atención si no se encuentra debidamente informado al usuario. Por otra parte, en la localidad de Kennedy, aunque inicialmente se identificó un punto con señalización, soporte contractual y condiciones aparentes de funcionamiento, al momento de la verificación se evidenció que no se encontraba prestando el servicio. Según lo manifestado por el administrador, el operador farmacéu</w:t>
      </w:r>
      <w:r w:rsidR="00C82CF7" w:rsidRPr="006068A2">
        <w:rPr>
          <w:rFonts w:ascii="Arial" w:hAnsi="Arial" w:cs="Arial"/>
          <w:sz w:val="22"/>
          <w:szCs w:val="22"/>
        </w:rPr>
        <w:t xml:space="preserve">tico </w:t>
      </w:r>
      <w:proofErr w:type="spellStart"/>
      <w:r w:rsidR="00C82CF7" w:rsidRPr="006068A2">
        <w:rPr>
          <w:rFonts w:ascii="Arial" w:hAnsi="Arial" w:cs="Arial"/>
          <w:sz w:val="22"/>
          <w:szCs w:val="22"/>
        </w:rPr>
        <w:t>Surti</w:t>
      </w:r>
      <w:proofErr w:type="spellEnd"/>
      <w:r w:rsidR="00C82CF7" w:rsidRPr="006068A2">
        <w:rPr>
          <w:rFonts w:ascii="Arial" w:hAnsi="Arial" w:cs="Arial"/>
          <w:sz w:val="22"/>
          <w:szCs w:val="22"/>
        </w:rPr>
        <w:t xml:space="preserve"> Drogas </w:t>
      </w:r>
      <w:r w:rsidRPr="006068A2">
        <w:rPr>
          <w:rFonts w:ascii="Arial" w:hAnsi="Arial" w:cs="Arial"/>
          <w:sz w:val="22"/>
          <w:szCs w:val="22"/>
        </w:rPr>
        <w:t>no prorrogó el contrato, razón por la cual la atención se encontraba suspendida desde hacía aproximadamente una semana.</w:t>
      </w:r>
    </w:p>
    <w:p w14:paraId="4124621A" w14:textId="77777777" w:rsidR="00F41C22" w:rsidRPr="006068A2" w:rsidRDefault="00F41C22" w:rsidP="006068A2">
      <w:pPr>
        <w:shd w:val="clear" w:color="auto" w:fill="FFFFFF"/>
        <w:spacing w:line="360" w:lineRule="auto"/>
        <w:jc w:val="both"/>
        <w:rPr>
          <w:rFonts w:ascii="Arial" w:hAnsi="Arial" w:cs="Arial"/>
          <w:sz w:val="22"/>
          <w:szCs w:val="22"/>
        </w:rPr>
      </w:pPr>
    </w:p>
    <w:p w14:paraId="7E87309C"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Esta situación afecta directamente la continuidad en la prestación del servicio y evidencia fallas en la gestión de la red, particularmente en la oportunidad de la información suministrada a los usuarios. Adicionalmente, se observó que la dirección verificada en terreno no coincide con la reportada por la EPS ni con la publicada en su página web, lo que constituye una inconsistencia que puede generar desinformación y dificultades de acceso para los afiliados.</w:t>
      </w:r>
    </w:p>
    <w:p w14:paraId="0BC59EF4" w14:textId="77777777" w:rsidR="00F41C22" w:rsidRPr="006068A2" w:rsidRDefault="00F41C22" w:rsidP="006068A2">
      <w:pPr>
        <w:shd w:val="clear" w:color="auto" w:fill="FFFFFF"/>
        <w:spacing w:line="360" w:lineRule="auto"/>
        <w:jc w:val="both"/>
        <w:rPr>
          <w:rFonts w:ascii="Arial" w:hAnsi="Arial" w:cs="Arial"/>
          <w:sz w:val="22"/>
          <w:szCs w:val="22"/>
        </w:rPr>
      </w:pPr>
    </w:p>
    <w:p w14:paraId="54EA3713" w14:textId="77777777" w:rsidR="007479AA"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lastRenderedPageBreak/>
        <w:t>En síntesis, si bien la visita permitió confirmar la operación general de la red farmacéutica, también evidenció debilidades en la actualización y veracidad de la información reportada por la EPS, así como en la gestión de la continuidad del servicio en puntos específicos. Estas situaciones representan riesgos en la garantía del acceso oportuno a medicamentos y requieren acciones correctivas orientadas a mejorar la calidad de la información, la articulación con los operadores farmacéuticos y la comunicación efectiva con los usuarios.</w:t>
      </w:r>
    </w:p>
    <w:p w14:paraId="65335366" w14:textId="77777777" w:rsidR="007479AA" w:rsidRPr="006068A2" w:rsidRDefault="007479AA" w:rsidP="006068A2">
      <w:pPr>
        <w:shd w:val="clear" w:color="auto" w:fill="FFFFFF"/>
        <w:spacing w:line="360" w:lineRule="auto"/>
        <w:jc w:val="both"/>
        <w:rPr>
          <w:rFonts w:ascii="Arial" w:hAnsi="Arial" w:cs="Arial"/>
          <w:sz w:val="22"/>
          <w:szCs w:val="22"/>
        </w:rPr>
      </w:pPr>
    </w:p>
    <w:p w14:paraId="716B3B22" w14:textId="3540809B" w:rsidR="00571191" w:rsidRPr="001C2986" w:rsidRDefault="00571191" w:rsidP="001C2986">
      <w:pPr>
        <w:pStyle w:val="Ttulo1"/>
        <w:numPr>
          <w:ilvl w:val="0"/>
          <w:numId w:val="9"/>
        </w:numPr>
        <w:spacing w:before="0" w:line="360" w:lineRule="auto"/>
        <w:jc w:val="both"/>
        <w:rPr>
          <w:rFonts w:ascii="Arial" w:hAnsi="Arial" w:cs="Arial"/>
          <w:b/>
          <w:bCs/>
          <w:color w:val="auto"/>
          <w:sz w:val="22"/>
          <w:szCs w:val="22"/>
          <w:lang w:val="es-ES"/>
        </w:rPr>
      </w:pPr>
      <w:bookmarkStart w:id="61" w:name="_Toc229397858"/>
      <w:r w:rsidRPr="001C2986">
        <w:rPr>
          <w:rFonts w:ascii="Arial" w:hAnsi="Arial" w:cs="Arial"/>
          <w:b/>
          <w:bCs/>
          <w:color w:val="auto"/>
          <w:sz w:val="22"/>
          <w:szCs w:val="22"/>
          <w:lang w:val="es-ES"/>
        </w:rPr>
        <w:t>ANÁLISIS FINANCIERO</w:t>
      </w:r>
      <w:r w:rsidR="004C0260" w:rsidRPr="001C2986">
        <w:rPr>
          <w:rFonts w:ascii="Arial" w:hAnsi="Arial" w:cs="Arial"/>
          <w:b/>
          <w:bCs/>
          <w:color w:val="auto"/>
          <w:sz w:val="22"/>
          <w:szCs w:val="22"/>
          <w:lang w:val="es-ES"/>
        </w:rPr>
        <w:t xml:space="preserve"> INFORME </w:t>
      </w:r>
      <w:r w:rsidR="16D3EB00" w:rsidRPr="001C2986">
        <w:rPr>
          <w:rFonts w:ascii="Arial" w:hAnsi="Arial" w:cs="Arial"/>
          <w:b/>
          <w:bCs/>
          <w:color w:val="auto"/>
          <w:sz w:val="22"/>
          <w:szCs w:val="22"/>
          <w:lang w:val="es-ES"/>
        </w:rPr>
        <w:t>COOSALUD</w:t>
      </w:r>
      <w:r w:rsidR="00ED0D40" w:rsidRPr="001C2986">
        <w:rPr>
          <w:rFonts w:ascii="Arial" w:hAnsi="Arial" w:cs="Arial"/>
          <w:b/>
          <w:bCs/>
          <w:color w:val="auto"/>
          <w:sz w:val="22"/>
          <w:szCs w:val="22"/>
        </w:rPr>
        <w:t xml:space="preserve"> EPS</w:t>
      </w:r>
      <w:bookmarkEnd w:id="61"/>
    </w:p>
    <w:p w14:paraId="0FDDDC0B" w14:textId="6CD37AA1" w:rsidR="27918249" w:rsidRDefault="27918249" w:rsidP="006068A2">
      <w:pPr>
        <w:spacing w:line="360" w:lineRule="auto"/>
        <w:jc w:val="both"/>
        <w:rPr>
          <w:rFonts w:ascii="Arial" w:hAnsi="Arial" w:cs="Arial"/>
          <w:sz w:val="22"/>
          <w:szCs w:val="22"/>
          <w:lang w:val="es-ES"/>
        </w:rPr>
      </w:pPr>
    </w:p>
    <w:p w14:paraId="4C20DB0E" w14:textId="77777777" w:rsidR="00C95308" w:rsidRPr="001B1B98" w:rsidRDefault="00C95308" w:rsidP="00C95308">
      <w:pPr>
        <w:shd w:val="clear" w:color="auto" w:fill="FFFFFF"/>
        <w:spacing w:line="360" w:lineRule="auto"/>
        <w:jc w:val="both"/>
        <w:rPr>
          <w:rFonts w:ascii="Arial" w:hAnsi="Arial" w:cs="Arial"/>
          <w:color w:val="000000"/>
          <w:sz w:val="22"/>
          <w:szCs w:val="22"/>
          <w:bdr w:val="none" w:sz="0" w:space="0" w:color="auto" w:frame="1"/>
          <w:lang w:val="es-ES" w:eastAsia="es-ES"/>
        </w:rPr>
      </w:pPr>
      <w:bookmarkStart w:id="62" w:name="_Toc227338978"/>
      <w:r w:rsidRPr="001B1B98">
        <w:rPr>
          <w:rFonts w:ascii="Arial" w:hAnsi="Arial" w:cs="Arial"/>
          <w:color w:val="000000"/>
          <w:sz w:val="22"/>
          <w:szCs w:val="22"/>
          <w:bdr w:val="none" w:sz="0" w:space="0" w:color="auto" w:frame="1"/>
          <w:lang w:val="es-ES" w:eastAsia="es-ES"/>
        </w:rPr>
        <w:t>El presente capítulo desarrolla el análisis financiero de COOSALUD EPS para el periodo 2021–2025, con base en la información contenida en los estados financieros reportados por la entidad y demás fuentes oficiales revisadas para este ejercicio. Las cifras se presentan en millones de pesos y permiten examinar la evolución de los principales componentes de la estructura financiera de la EPS. En este contexto, el análisis tiene como propósito valorar su liquidez, solvencia, nivel de endeudamiento y sostenibilidad financiera, con el fin de identificar riesgos relevantes sobre su capacidad de operación y sobre el cumplimiento de las condiciones financieras exigidas en el marco normativo vigente.</w:t>
      </w:r>
    </w:p>
    <w:p w14:paraId="23809449" w14:textId="77777777" w:rsidR="00C95308" w:rsidRPr="0065010F" w:rsidRDefault="00C95308" w:rsidP="00C95308">
      <w:pPr>
        <w:rPr>
          <w:lang w:val="es-ES"/>
        </w:rPr>
      </w:pPr>
    </w:p>
    <w:p w14:paraId="16C57316"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3" w:name="_Toc229397859"/>
      <w:r w:rsidRPr="00C2596A">
        <w:rPr>
          <w:rFonts w:ascii="Arial" w:hAnsi="Arial" w:cs="Arial"/>
          <w:b/>
          <w:bCs/>
          <w:color w:val="auto"/>
          <w:sz w:val="22"/>
          <w:szCs w:val="22"/>
        </w:rPr>
        <w:t>Estado de la situación financiera (2021–2025)</w:t>
      </w:r>
      <w:bookmarkEnd w:id="62"/>
      <w:bookmarkEnd w:id="63"/>
    </w:p>
    <w:p w14:paraId="2FDCE02B" w14:textId="77777777" w:rsidR="00C95308" w:rsidRPr="00BB58E7" w:rsidRDefault="00C95308" w:rsidP="00C95308">
      <w:pPr>
        <w:rPr>
          <w:rFonts w:eastAsia="Arial"/>
        </w:rPr>
      </w:pPr>
    </w:p>
    <w:p w14:paraId="4790AEE8" w14:textId="77777777" w:rsidR="00C95308" w:rsidRDefault="00C95308" w:rsidP="00C95308">
      <w:pPr>
        <w:spacing w:line="360" w:lineRule="auto"/>
        <w:jc w:val="both"/>
        <w:rPr>
          <w:rFonts w:ascii="Arial" w:hAnsi="Arial" w:cs="Arial"/>
          <w:sz w:val="22"/>
          <w:szCs w:val="22"/>
          <w:lang w:val="es-ES"/>
        </w:rPr>
      </w:pPr>
      <w:r w:rsidRPr="00EC51A0">
        <w:rPr>
          <w:rFonts w:ascii="Arial" w:hAnsi="Arial" w:cs="Arial"/>
          <w:sz w:val="22"/>
          <w:szCs w:val="22"/>
          <w:lang w:val="es-ES"/>
        </w:rPr>
        <w:t xml:space="preserve">Con el fin de evaluar la evolución de la situación financiera de COOSALUD EPS y contar con elementos objetivos para el análisis de sus condiciones de solvencia y sostenibilidad, a continuación, se presenta el comportamiento de los principales rubros financieros durante el periodo 2021–2025. La información permite observar la evolución de los activos, pasivos y patrimonio, así como de los ingresos, gastos y costos asociados a la operación del aseguramiento en salud. En términos generales, la </w:t>
      </w:r>
      <w:r>
        <w:rPr>
          <w:rFonts w:ascii="Arial" w:hAnsi="Arial" w:cs="Arial"/>
          <w:sz w:val="22"/>
          <w:szCs w:val="22"/>
          <w:lang w:val="es-ES"/>
        </w:rPr>
        <w:t xml:space="preserve">siguiente </w:t>
      </w:r>
      <w:r w:rsidRPr="00EC51A0">
        <w:rPr>
          <w:rFonts w:ascii="Arial" w:hAnsi="Arial" w:cs="Arial"/>
          <w:sz w:val="22"/>
          <w:szCs w:val="22"/>
          <w:lang w:val="es-ES"/>
        </w:rPr>
        <w:t>tabla evidencia un incremento importante de los pasivos y de los costos del sistema, una reducción sostenida del disponible y un deterioro progresivo del patrimonio, elementos que constituyen señales relevantes de presión financiera sobre la entidad. Las cifras se presentan en millones de pesos.</w:t>
      </w:r>
    </w:p>
    <w:p w14:paraId="1492D998" w14:textId="77777777" w:rsidR="00C95308" w:rsidRDefault="00C95308" w:rsidP="00C95308">
      <w:pPr>
        <w:spacing w:line="360" w:lineRule="auto"/>
        <w:jc w:val="both"/>
        <w:rPr>
          <w:rFonts w:ascii="Arial" w:hAnsi="Arial" w:cs="Arial"/>
          <w:sz w:val="22"/>
          <w:szCs w:val="22"/>
          <w:lang w:val="es-ES"/>
        </w:rPr>
      </w:pPr>
    </w:p>
    <w:p w14:paraId="4373E4F3" w14:textId="77777777" w:rsidR="00234D34" w:rsidRDefault="00234D34" w:rsidP="00C95308">
      <w:pPr>
        <w:spacing w:line="360" w:lineRule="auto"/>
        <w:jc w:val="both"/>
        <w:rPr>
          <w:rFonts w:ascii="Arial" w:hAnsi="Arial" w:cs="Arial"/>
          <w:sz w:val="22"/>
          <w:szCs w:val="22"/>
          <w:lang w:val="es-ES"/>
        </w:rPr>
      </w:pPr>
    </w:p>
    <w:p w14:paraId="6C305647" w14:textId="77777777" w:rsidR="00234D34" w:rsidRDefault="00234D34" w:rsidP="00C95308">
      <w:pPr>
        <w:spacing w:line="360" w:lineRule="auto"/>
        <w:jc w:val="both"/>
        <w:rPr>
          <w:rFonts w:ascii="Arial" w:hAnsi="Arial" w:cs="Arial"/>
          <w:sz w:val="22"/>
          <w:szCs w:val="22"/>
          <w:lang w:val="es-ES"/>
        </w:rPr>
      </w:pPr>
    </w:p>
    <w:p w14:paraId="7F238301" w14:textId="77777777" w:rsidR="00234D34" w:rsidRDefault="00234D34" w:rsidP="00C95308">
      <w:pPr>
        <w:spacing w:line="360" w:lineRule="auto"/>
        <w:jc w:val="both"/>
        <w:rPr>
          <w:rFonts w:ascii="Arial" w:hAnsi="Arial" w:cs="Arial"/>
          <w:sz w:val="22"/>
          <w:szCs w:val="22"/>
          <w:lang w:val="es-ES"/>
        </w:rPr>
      </w:pPr>
    </w:p>
    <w:p w14:paraId="60B2517E" w14:textId="448A6323" w:rsidR="00C95308" w:rsidRPr="00FA4C3C" w:rsidRDefault="00C95308" w:rsidP="00C95308">
      <w:pPr>
        <w:pStyle w:val="Descripcin"/>
        <w:spacing w:after="0" w:line="360" w:lineRule="auto"/>
        <w:jc w:val="both"/>
        <w:rPr>
          <w:rFonts w:ascii="Arial" w:eastAsia="Arial" w:hAnsi="Arial" w:cs="Arial"/>
          <w:i w:val="0"/>
          <w:iCs w:val="0"/>
          <w:color w:val="000000" w:themeColor="text1"/>
          <w:sz w:val="22"/>
          <w:szCs w:val="22"/>
          <w:lang w:val="es-ES"/>
        </w:rPr>
      </w:pPr>
      <w:bookmarkStart w:id="64" w:name="_Toc229395876"/>
      <w:r w:rsidRPr="00FA4C3C">
        <w:rPr>
          <w:rFonts w:ascii="Arial" w:eastAsia="Arial" w:hAnsi="Arial" w:cs="Arial"/>
          <w:i w:val="0"/>
          <w:iCs w:val="0"/>
          <w:color w:val="000000" w:themeColor="text1"/>
          <w:sz w:val="22"/>
          <w:szCs w:val="22"/>
        </w:rPr>
        <w:lastRenderedPageBreak/>
        <w:t xml:space="preserve">Tabla </w:t>
      </w:r>
      <w:r w:rsidRPr="00FA4C3C">
        <w:rPr>
          <w:rFonts w:ascii="Arial" w:eastAsia="Arial" w:hAnsi="Arial" w:cs="Arial"/>
          <w:i w:val="0"/>
          <w:iCs w:val="0"/>
          <w:color w:val="000000" w:themeColor="text1"/>
          <w:sz w:val="22"/>
          <w:szCs w:val="22"/>
        </w:rPr>
        <w:fldChar w:fldCharType="begin"/>
      </w:r>
      <w:r w:rsidRPr="00FA4C3C">
        <w:rPr>
          <w:rFonts w:ascii="Arial" w:eastAsia="Arial" w:hAnsi="Arial" w:cs="Arial"/>
          <w:i w:val="0"/>
          <w:iCs w:val="0"/>
          <w:color w:val="000000" w:themeColor="text1"/>
          <w:sz w:val="22"/>
          <w:szCs w:val="22"/>
        </w:rPr>
        <w:instrText xml:space="preserve"> SEQ Tabla \* ARABIC </w:instrText>
      </w:r>
      <w:r w:rsidRPr="00FA4C3C">
        <w:rPr>
          <w:rFonts w:ascii="Arial" w:eastAsia="Arial" w:hAnsi="Arial" w:cs="Arial"/>
          <w:i w:val="0"/>
          <w:iCs w:val="0"/>
          <w:color w:val="000000" w:themeColor="text1"/>
          <w:sz w:val="22"/>
          <w:szCs w:val="22"/>
        </w:rPr>
        <w:fldChar w:fldCharType="separate"/>
      </w:r>
      <w:r w:rsidR="00912D02">
        <w:rPr>
          <w:rFonts w:ascii="Arial" w:eastAsia="Arial" w:hAnsi="Arial" w:cs="Arial"/>
          <w:i w:val="0"/>
          <w:iCs w:val="0"/>
          <w:noProof/>
          <w:color w:val="000000" w:themeColor="text1"/>
          <w:sz w:val="22"/>
          <w:szCs w:val="22"/>
        </w:rPr>
        <w:t>19</w:t>
      </w:r>
      <w:r w:rsidRPr="00FA4C3C">
        <w:rPr>
          <w:rFonts w:ascii="Arial" w:eastAsia="Arial" w:hAnsi="Arial" w:cs="Arial"/>
          <w:i w:val="0"/>
          <w:iCs w:val="0"/>
          <w:color w:val="000000" w:themeColor="text1"/>
          <w:sz w:val="22"/>
          <w:szCs w:val="22"/>
        </w:rPr>
        <w:fldChar w:fldCharType="end"/>
      </w:r>
      <w:r w:rsidRPr="00FA4C3C">
        <w:rPr>
          <w:rFonts w:ascii="Arial" w:eastAsia="Arial" w:hAnsi="Arial" w:cs="Arial"/>
          <w:i w:val="0"/>
          <w:iCs w:val="0"/>
          <w:color w:val="000000" w:themeColor="text1"/>
          <w:sz w:val="22"/>
          <w:szCs w:val="22"/>
        </w:rPr>
        <w:t>. Estado de Situación Financiera (Cifras en millones pesos colombianos)</w:t>
      </w:r>
      <w:bookmarkEnd w:id="64"/>
    </w:p>
    <w:p w14:paraId="33ED2E3C" w14:textId="77777777" w:rsidR="00C95308" w:rsidRDefault="00C95308" w:rsidP="00C95308">
      <w:pPr>
        <w:spacing w:line="360" w:lineRule="auto"/>
        <w:jc w:val="both"/>
        <w:rPr>
          <w:rFonts w:ascii="Arial" w:eastAsia="Arial" w:hAnsi="Arial" w:cs="Arial"/>
          <w:color w:val="000000" w:themeColor="text1"/>
          <w:sz w:val="18"/>
          <w:szCs w:val="18"/>
        </w:rPr>
      </w:pPr>
    </w:p>
    <w:tbl>
      <w:tblPr>
        <w:tblStyle w:val="Tablaconcuadrcula"/>
        <w:tblW w:w="9640" w:type="dxa"/>
        <w:jc w:val="center"/>
        <w:tblLook w:val="04A0" w:firstRow="1" w:lastRow="0" w:firstColumn="1" w:lastColumn="0" w:noHBand="0" w:noVBand="1"/>
      </w:tblPr>
      <w:tblGrid>
        <w:gridCol w:w="942"/>
        <w:gridCol w:w="1738"/>
        <w:gridCol w:w="1373"/>
        <w:gridCol w:w="1373"/>
        <w:gridCol w:w="1373"/>
        <w:gridCol w:w="1415"/>
        <w:gridCol w:w="1426"/>
      </w:tblGrid>
      <w:tr w:rsidR="00C95308" w:rsidRPr="00EC51A0" w14:paraId="6A21244B" w14:textId="77777777" w:rsidTr="0064323B">
        <w:trPr>
          <w:trHeight w:val="94"/>
          <w:tblHeader/>
          <w:jc w:val="center"/>
        </w:trPr>
        <w:tc>
          <w:tcPr>
            <w:tcW w:w="0" w:type="auto"/>
            <w:vAlign w:val="center"/>
            <w:hideMark/>
          </w:tcPr>
          <w:p w14:paraId="2D137702" w14:textId="77777777" w:rsidR="00C95308" w:rsidRPr="00EC51A0" w:rsidRDefault="00C95308" w:rsidP="0064323B">
            <w:pPr>
              <w:jc w:val="center"/>
              <w:rPr>
                <w:rFonts w:ascii="Arial" w:hAnsi="Arial" w:cs="Arial"/>
                <w:b/>
                <w:bCs/>
                <w:color w:val="000000"/>
                <w:sz w:val="16"/>
                <w:szCs w:val="16"/>
                <w:lang w:eastAsia="es-CO"/>
              </w:rPr>
            </w:pPr>
            <w:r w:rsidRPr="00EC51A0">
              <w:rPr>
                <w:rFonts w:ascii="Arial" w:hAnsi="Arial" w:cs="Arial"/>
                <w:b/>
                <w:bCs/>
                <w:color w:val="000000"/>
                <w:sz w:val="16"/>
                <w:szCs w:val="16"/>
              </w:rPr>
              <w:t>Código concepto</w:t>
            </w:r>
          </w:p>
        </w:tc>
        <w:tc>
          <w:tcPr>
            <w:tcW w:w="0" w:type="auto"/>
            <w:vAlign w:val="center"/>
            <w:hideMark/>
          </w:tcPr>
          <w:p w14:paraId="5EC95EF1"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Denominación</w:t>
            </w:r>
          </w:p>
        </w:tc>
        <w:tc>
          <w:tcPr>
            <w:tcW w:w="0" w:type="auto"/>
            <w:noWrap/>
            <w:vAlign w:val="center"/>
            <w:hideMark/>
          </w:tcPr>
          <w:p w14:paraId="6E4C2DDF"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2021</w:t>
            </w:r>
          </w:p>
        </w:tc>
        <w:tc>
          <w:tcPr>
            <w:tcW w:w="0" w:type="auto"/>
            <w:noWrap/>
            <w:vAlign w:val="center"/>
            <w:hideMark/>
          </w:tcPr>
          <w:p w14:paraId="7B88BA8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2022</w:t>
            </w:r>
          </w:p>
        </w:tc>
        <w:tc>
          <w:tcPr>
            <w:tcW w:w="0" w:type="auto"/>
            <w:noWrap/>
            <w:vAlign w:val="center"/>
            <w:hideMark/>
          </w:tcPr>
          <w:p w14:paraId="4769747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2023</w:t>
            </w:r>
          </w:p>
        </w:tc>
        <w:tc>
          <w:tcPr>
            <w:tcW w:w="0" w:type="auto"/>
            <w:noWrap/>
            <w:vAlign w:val="center"/>
            <w:hideMark/>
          </w:tcPr>
          <w:p w14:paraId="33A69AFB"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2024</w:t>
            </w:r>
          </w:p>
        </w:tc>
        <w:tc>
          <w:tcPr>
            <w:tcW w:w="0" w:type="auto"/>
            <w:noWrap/>
            <w:vAlign w:val="center"/>
            <w:hideMark/>
          </w:tcPr>
          <w:p w14:paraId="1994522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2025</w:t>
            </w:r>
          </w:p>
        </w:tc>
      </w:tr>
      <w:tr w:rsidR="00C95308" w:rsidRPr="00EC51A0" w14:paraId="2ED76F7A" w14:textId="77777777" w:rsidTr="0064323B">
        <w:trPr>
          <w:trHeight w:val="66"/>
          <w:jc w:val="center"/>
        </w:trPr>
        <w:tc>
          <w:tcPr>
            <w:tcW w:w="0" w:type="auto"/>
            <w:noWrap/>
            <w:vAlign w:val="center"/>
            <w:hideMark/>
          </w:tcPr>
          <w:p w14:paraId="147A47E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w:t>
            </w:r>
          </w:p>
        </w:tc>
        <w:tc>
          <w:tcPr>
            <w:tcW w:w="0" w:type="auto"/>
            <w:vAlign w:val="center"/>
            <w:hideMark/>
          </w:tcPr>
          <w:p w14:paraId="32266AE0"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ACTIVOS</w:t>
            </w:r>
          </w:p>
        </w:tc>
        <w:tc>
          <w:tcPr>
            <w:tcW w:w="0" w:type="auto"/>
            <w:noWrap/>
            <w:vAlign w:val="center"/>
            <w:hideMark/>
          </w:tcPr>
          <w:p w14:paraId="06DEDF0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$ 1.202.468,098</w:t>
            </w:r>
          </w:p>
        </w:tc>
        <w:tc>
          <w:tcPr>
            <w:tcW w:w="0" w:type="auto"/>
            <w:noWrap/>
            <w:vAlign w:val="center"/>
            <w:hideMark/>
          </w:tcPr>
          <w:p w14:paraId="2F1FE1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$ 1.124.036,218</w:t>
            </w:r>
          </w:p>
        </w:tc>
        <w:tc>
          <w:tcPr>
            <w:tcW w:w="0" w:type="auto"/>
            <w:noWrap/>
            <w:vAlign w:val="center"/>
            <w:hideMark/>
          </w:tcPr>
          <w:p w14:paraId="750B3AB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$ 1.066.681,574</w:t>
            </w:r>
          </w:p>
        </w:tc>
        <w:tc>
          <w:tcPr>
            <w:tcW w:w="0" w:type="auto"/>
            <w:noWrap/>
            <w:vAlign w:val="center"/>
            <w:hideMark/>
          </w:tcPr>
          <w:p w14:paraId="4AD89F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$ 1.942.170,421</w:t>
            </w:r>
          </w:p>
        </w:tc>
        <w:tc>
          <w:tcPr>
            <w:tcW w:w="0" w:type="auto"/>
            <w:noWrap/>
            <w:vAlign w:val="center"/>
            <w:hideMark/>
          </w:tcPr>
          <w:p w14:paraId="736618E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$ 2.916.073,288</w:t>
            </w:r>
          </w:p>
        </w:tc>
      </w:tr>
      <w:tr w:rsidR="00C95308" w:rsidRPr="00EC51A0" w14:paraId="5E061A9D" w14:textId="77777777" w:rsidTr="0064323B">
        <w:trPr>
          <w:trHeight w:val="94"/>
          <w:jc w:val="center"/>
        </w:trPr>
        <w:tc>
          <w:tcPr>
            <w:tcW w:w="0" w:type="auto"/>
            <w:noWrap/>
            <w:vAlign w:val="center"/>
            <w:hideMark/>
          </w:tcPr>
          <w:p w14:paraId="19DC6F7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11</w:t>
            </w:r>
          </w:p>
        </w:tc>
        <w:tc>
          <w:tcPr>
            <w:tcW w:w="0" w:type="auto"/>
            <w:vAlign w:val="center"/>
            <w:hideMark/>
          </w:tcPr>
          <w:p w14:paraId="38AD01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EFECTIVO Y EQUIVALENTES AL EFECTIVO</w:t>
            </w:r>
          </w:p>
        </w:tc>
        <w:tc>
          <w:tcPr>
            <w:tcW w:w="0" w:type="auto"/>
            <w:noWrap/>
            <w:vAlign w:val="center"/>
            <w:hideMark/>
          </w:tcPr>
          <w:p w14:paraId="601B5F6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$ 601.264,130</w:t>
            </w:r>
          </w:p>
        </w:tc>
        <w:tc>
          <w:tcPr>
            <w:tcW w:w="0" w:type="auto"/>
            <w:noWrap/>
            <w:vAlign w:val="center"/>
            <w:hideMark/>
          </w:tcPr>
          <w:p w14:paraId="1526BDF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$ 456.181,595</w:t>
            </w:r>
          </w:p>
        </w:tc>
        <w:tc>
          <w:tcPr>
            <w:tcW w:w="0" w:type="auto"/>
            <w:noWrap/>
            <w:vAlign w:val="center"/>
            <w:hideMark/>
          </w:tcPr>
          <w:p w14:paraId="0A5384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$ 229.341,985</w:t>
            </w:r>
          </w:p>
        </w:tc>
        <w:tc>
          <w:tcPr>
            <w:tcW w:w="0" w:type="auto"/>
            <w:noWrap/>
            <w:vAlign w:val="center"/>
            <w:hideMark/>
          </w:tcPr>
          <w:p w14:paraId="4100AB1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$ 127.202,216</w:t>
            </w:r>
          </w:p>
        </w:tc>
        <w:tc>
          <w:tcPr>
            <w:tcW w:w="0" w:type="auto"/>
            <w:noWrap/>
            <w:vAlign w:val="center"/>
            <w:hideMark/>
          </w:tcPr>
          <w:p w14:paraId="51AFB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$ 81.326,144</w:t>
            </w:r>
          </w:p>
        </w:tc>
      </w:tr>
      <w:tr w:rsidR="00C95308" w:rsidRPr="00EC51A0" w14:paraId="4358E62A" w14:textId="77777777" w:rsidTr="0064323B">
        <w:trPr>
          <w:trHeight w:val="66"/>
          <w:jc w:val="center"/>
        </w:trPr>
        <w:tc>
          <w:tcPr>
            <w:tcW w:w="0" w:type="auto"/>
            <w:noWrap/>
            <w:vAlign w:val="center"/>
            <w:hideMark/>
          </w:tcPr>
          <w:p w14:paraId="2B37D29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13</w:t>
            </w:r>
          </w:p>
        </w:tc>
        <w:tc>
          <w:tcPr>
            <w:tcW w:w="0" w:type="auto"/>
            <w:vAlign w:val="center"/>
            <w:hideMark/>
          </w:tcPr>
          <w:p w14:paraId="17962D9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CUENTAS POR COBRAR</w:t>
            </w:r>
          </w:p>
        </w:tc>
        <w:tc>
          <w:tcPr>
            <w:tcW w:w="0" w:type="auto"/>
            <w:noWrap/>
            <w:vAlign w:val="center"/>
            <w:hideMark/>
          </w:tcPr>
          <w:p w14:paraId="775ED7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$ 590.799,264</w:t>
            </w:r>
          </w:p>
        </w:tc>
        <w:tc>
          <w:tcPr>
            <w:tcW w:w="0" w:type="auto"/>
            <w:noWrap/>
            <w:vAlign w:val="center"/>
            <w:hideMark/>
          </w:tcPr>
          <w:p w14:paraId="0C72192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$ 608.672,552</w:t>
            </w:r>
          </w:p>
        </w:tc>
        <w:tc>
          <w:tcPr>
            <w:tcW w:w="0" w:type="auto"/>
            <w:noWrap/>
            <w:vAlign w:val="center"/>
            <w:hideMark/>
          </w:tcPr>
          <w:p w14:paraId="103C3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$ 748.521,567</w:t>
            </w:r>
          </w:p>
        </w:tc>
        <w:tc>
          <w:tcPr>
            <w:tcW w:w="0" w:type="auto"/>
            <w:noWrap/>
            <w:vAlign w:val="center"/>
            <w:hideMark/>
          </w:tcPr>
          <w:p w14:paraId="718DA2C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$ 1.791.753,925</w:t>
            </w:r>
          </w:p>
        </w:tc>
        <w:tc>
          <w:tcPr>
            <w:tcW w:w="0" w:type="auto"/>
            <w:noWrap/>
            <w:vAlign w:val="center"/>
            <w:hideMark/>
          </w:tcPr>
          <w:p w14:paraId="61A99F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$ 2.812.755,502</w:t>
            </w:r>
          </w:p>
        </w:tc>
      </w:tr>
      <w:tr w:rsidR="00C95308" w:rsidRPr="00EC51A0" w14:paraId="009F49B6" w14:textId="77777777" w:rsidTr="0064323B">
        <w:trPr>
          <w:trHeight w:val="66"/>
          <w:jc w:val="center"/>
        </w:trPr>
        <w:tc>
          <w:tcPr>
            <w:tcW w:w="0" w:type="auto"/>
            <w:noWrap/>
            <w:vAlign w:val="center"/>
            <w:hideMark/>
          </w:tcPr>
          <w:p w14:paraId="4482ABF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15</w:t>
            </w:r>
          </w:p>
        </w:tc>
        <w:tc>
          <w:tcPr>
            <w:tcW w:w="0" w:type="auto"/>
            <w:vAlign w:val="center"/>
            <w:hideMark/>
          </w:tcPr>
          <w:p w14:paraId="640C840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PROPIEDAD PLANTA Y EQUIPO</w:t>
            </w:r>
          </w:p>
        </w:tc>
        <w:tc>
          <w:tcPr>
            <w:tcW w:w="0" w:type="auto"/>
            <w:noWrap/>
            <w:vAlign w:val="center"/>
            <w:hideMark/>
          </w:tcPr>
          <w:p w14:paraId="4F3254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$ 6.720,032</w:t>
            </w:r>
          </w:p>
        </w:tc>
        <w:tc>
          <w:tcPr>
            <w:tcW w:w="0" w:type="auto"/>
            <w:noWrap/>
            <w:vAlign w:val="center"/>
            <w:hideMark/>
          </w:tcPr>
          <w:p w14:paraId="58EF7FD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$ 15.224,050</w:t>
            </w:r>
          </w:p>
        </w:tc>
        <w:tc>
          <w:tcPr>
            <w:tcW w:w="0" w:type="auto"/>
            <w:noWrap/>
            <w:vAlign w:val="center"/>
            <w:hideMark/>
          </w:tcPr>
          <w:p w14:paraId="7707A90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$ 14.272,360</w:t>
            </w:r>
          </w:p>
        </w:tc>
        <w:tc>
          <w:tcPr>
            <w:tcW w:w="0" w:type="auto"/>
            <w:noWrap/>
            <w:vAlign w:val="center"/>
            <w:hideMark/>
          </w:tcPr>
          <w:p w14:paraId="7BED4B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$ 12.857,988</w:t>
            </w:r>
          </w:p>
        </w:tc>
        <w:tc>
          <w:tcPr>
            <w:tcW w:w="0" w:type="auto"/>
            <w:noWrap/>
            <w:vAlign w:val="center"/>
            <w:hideMark/>
          </w:tcPr>
          <w:p w14:paraId="5964871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$ 9.639,883</w:t>
            </w:r>
          </w:p>
        </w:tc>
      </w:tr>
      <w:tr w:rsidR="00C95308" w:rsidRPr="00EC51A0" w14:paraId="5D6E9120" w14:textId="77777777" w:rsidTr="0064323B">
        <w:trPr>
          <w:trHeight w:val="94"/>
          <w:jc w:val="center"/>
        </w:trPr>
        <w:tc>
          <w:tcPr>
            <w:tcW w:w="0" w:type="auto"/>
            <w:noWrap/>
            <w:vAlign w:val="center"/>
            <w:hideMark/>
          </w:tcPr>
          <w:p w14:paraId="79DB821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17</w:t>
            </w:r>
          </w:p>
        </w:tc>
        <w:tc>
          <w:tcPr>
            <w:tcW w:w="0" w:type="auto"/>
            <w:vAlign w:val="center"/>
            <w:hideMark/>
          </w:tcPr>
          <w:p w14:paraId="751B78C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ACTIVOS INTANGIBLES DISTINTOS A LA PLUSVALIA</w:t>
            </w:r>
          </w:p>
        </w:tc>
        <w:tc>
          <w:tcPr>
            <w:tcW w:w="0" w:type="auto"/>
            <w:noWrap/>
            <w:vAlign w:val="center"/>
            <w:hideMark/>
          </w:tcPr>
          <w:p w14:paraId="39F6A6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665BA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7A2580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3A1909A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$ 2.287,800</w:t>
            </w:r>
          </w:p>
        </w:tc>
        <w:tc>
          <w:tcPr>
            <w:tcW w:w="0" w:type="auto"/>
            <w:noWrap/>
            <w:vAlign w:val="center"/>
            <w:hideMark/>
          </w:tcPr>
          <w:p w14:paraId="6D93E2B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$ 4.757,986</w:t>
            </w:r>
          </w:p>
        </w:tc>
      </w:tr>
      <w:tr w:rsidR="00C95308" w:rsidRPr="00EC51A0" w14:paraId="63AB5C4C" w14:textId="77777777" w:rsidTr="0064323B">
        <w:trPr>
          <w:trHeight w:val="66"/>
          <w:jc w:val="center"/>
        </w:trPr>
        <w:tc>
          <w:tcPr>
            <w:tcW w:w="0" w:type="auto"/>
            <w:noWrap/>
            <w:vAlign w:val="center"/>
            <w:hideMark/>
          </w:tcPr>
          <w:p w14:paraId="75C26D6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18</w:t>
            </w:r>
          </w:p>
        </w:tc>
        <w:tc>
          <w:tcPr>
            <w:tcW w:w="0" w:type="auto"/>
            <w:vAlign w:val="center"/>
            <w:hideMark/>
          </w:tcPr>
          <w:p w14:paraId="3EED42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ACTIVOS</w:t>
            </w:r>
          </w:p>
        </w:tc>
        <w:tc>
          <w:tcPr>
            <w:tcW w:w="0" w:type="auto"/>
            <w:noWrap/>
            <w:vAlign w:val="center"/>
            <w:hideMark/>
          </w:tcPr>
          <w:p w14:paraId="2F1710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$ 3.684,672</w:t>
            </w:r>
          </w:p>
        </w:tc>
        <w:tc>
          <w:tcPr>
            <w:tcW w:w="0" w:type="auto"/>
            <w:noWrap/>
            <w:vAlign w:val="center"/>
            <w:hideMark/>
          </w:tcPr>
          <w:p w14:paraId="22D158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$ 3.958,021</w:t>
            </w:r>
          </w:p>
        </w:tc>
        <w:tc>
          <w:tcPr>
            <w:tcW w:w="0" w:type="auto"/>
            <w:noWrap/>
            <w:vAlign w:val="center"/>
            <w:hideMark/>
          </w:tcPr>
          <w:p w14:paraId="5443337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$ 3.345,662</w:t>
            </w:r>
          </w:p>
        </w:tc>
        <w:tc>
          <w:tcPr>
            <w:tcW w:w="0" w:type="auto"/>
            <w:noWrap/>
            <w:vAlign w:val="center"/>
            <w:hideMark/>
          </w:tcPr>
          <w:p w14:paraId="311A67E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$ 8.068,492</w:t>
            </w:r>
          </w:p>
        </w:tc>
        <w:tc>
          <w:tcPr>
            <w:tcW w:w="0" w:type="auto"/>
            <w:noWrap/>
            <w:vAlign w:val="center"/>
            <w:hideMark/>
          </w:tcPr>
          <w:p w14:paraId="5D10AC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$ 7.593,774</w:t>
            </w:r>
          </w:p>
        </w:tc>
      </w:tr>
      <w:tr w:rsidR="00C95308" w:rsidRPr="00EC51A0" w14:paraId="26FC54C5" w14:textId="77777777" w:rsidTr="0064323B">
        <w:trPr>
          <w:trHeight w:val="66"/>
          <w:jc w:val="center"/>
        </w:trPr>
        <w:tc>
          <w:tcPr>
            <w:tcW w:w="0" w:type="auto"/>
            <w:noWrap/>
            <w:vAlign w:val="center"/>
            <w:hideMark/>
          </w:tcPr>
          <w:p w14:paraId="4000B0C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w:t>
            </w:r>
          </w:p>
        </w:tc>
        <w:tc>
          <w:tcPr>
            <w:tcW w:w="0" w:type="auto"/>
            <w:vAlign w:val="center"/>
            <w:hideMark/>
          </w:tcPr>
          <w:p w14:paraId="758B25C6"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PASIVOS</w:t>
            </w:r>
          </w:p>
        </w:tc>
        <w:tc>
          <w:tcPr>
            <w:tcW w:w="0" w:type="auto"/>
            <w:noWrap/>
            <w:vAlign w:val="center"/>
            <w:hideMark/>
          </w:tcPr>
          <w:p w14:paraId="763508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$ 902.037,397</w:t>
            </w:r>
          </w:p>
        </w:tc>
        <w:tc>
          <w:tcPr>
            <w:tcW w:w="0" w:type="auto"/>
            <w:noWrap/>
            <w:vAlign w:val="center"/>
            <w:hideMark/>
          </w:tcPr>
          <w:p w14:paraId="6B9216C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$ 793.036,019</w:t>
            </w:r>
          </w:p>
        </w:tc>
        <w:tc>
          <w:tcPr>
            <w:tcW w:w="0" w:type="auto"/>
            <w:noWrap/>
            <w:vAlign w:val="center"/>
            <w:hideMark/>
          </w:tcPr>
          <w:p w14:paraId="5E813C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$ 843.225,411</w:t>
            </w:r>
          </w:p>
        </w:tc>
        <w:tc>
          <w:tcPr>
            <w:tcW w:w="0" w:type="auto"/>
            <w:noWrap/>
            <w:vAlign w:val="center"/>
            <w:hideMark/>
          </w:tcPr>
          <w:p w14:paraId="1F022F2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$ 2.801.338,388</w:t>
            </w:r>
          </w:p>
        </w:tc>
        <w:tc>
          <w:tcPr>
            <w:tcW w:w="0" w:type="auto"/>
            <w:noWrap/>
            <w:vAlign w:val="center"/>
            <w:hideMark/>
          </w:tcPr>
          <w:p w14:paraId="31D72D9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$ 6.634.186,918</w:t>
            </w:r>
          </w:p>
        </w:tc>
      </w:tr>
      <w:tr w:rsidR="00C95308" w:rsidRPr="00EC51A0" w14:paraId="35D379D9" w14:textId="77777777" w:rsidTr="0064323B">
        <w:trPr>
          <w:trHeight w:val="66"/>
          <w:jc w:val="center"/>
        </w:trPr>
        <w:tc>
          <w:tcPr>
            <w:tcW w:w="0" w:type="auto"/>
            <w:noWrap/>
            <w:vAlign w:val="center"/>
            <w:hideMark/>
          </w:tcPr>
          <w:p w14:paraId="394CC06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21</w:t>
            </w:r>
          </w:p>
        </w:tc>
        <w:tc>
          <w:tcPr>
            <w:tcW w:w="0" w:type="auto"/>
            <w:vAlign w:val="center"/>
            <w:hideMark/>
          </w:tcPr>
          <w:p w14:paraId="507E7AD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PASIVOS FINANCIEROS</w:t>
            </w:r>
          </w:p>
        </w:tc>
        <w:tc>
          <w:tcPr>
            <w:tcW w:w="0" w:type="auto"/>
            <w:noWrap/>
            <w:vAlign w:val="center"/>
            <w:hideMark/>
          </w:tcPr>
          <w:p w14:paraId="1F3BB6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$ 491.252,600</w:t>
            </w:r>
          </w:p>
        </w:tc>
        <w:tc>
          <w:tcPr>
            <w:tcW w:w="0" w:type="auto"/>
            <w:noWrap/>
            <w:vAlign w:val="center"/>
            <w:hideMark/>
          </w:tcPr>
          <w:p w14:paraId="50D89DF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$ 351.233,477</w:t>
            </w:r>
          </w:p>
        </w:tc>
        <w:tc>
          <w:tcPr>
            <w:tcW w:w="0" w:type="auto"/>
            <w:noWrap/>
            <w:vAlign w:val="center"/>
            <w:hideMark/>
          </w:tcPr>
          <w:p w14:paraId="212FED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$ 204.659,883</w:t>
            </w:r>
          </w:p>
        </w:tc>
        <w:tc>
          <w:tcPr>
            <w:tcW w:w="0" w:type="auto"/>
            <w:noWrap/>
            <w:vAlign w:val="center"/>
            <w:hideMark/>
          </w:tcPr>
          <w:p w14:paraId="46AECEF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$ 1.079.331,082</w:t>
            </w:r>
          </w:p>
        </w:tc>
        <w:tc>
          <w:tcPr>
            <w:tcW w:w="0" w:type="auto"/>
            <w:noWrap/>
            <w:vAlign w:val="center"/>
            <w:hideMark/>
          </w:tcPr>
          <w:p w14:paraId="3B4735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$ 2.615.848,794</w:t>
            </w:r>
          </w:p>
        </w:tc>
      </w:tr>
      <w:tr w:rsidR="00C95308" w:rsidRPr="00EC51A0" w14:paraId="78404DE6" w14:textId="77777777" w:rsidTr="0064323B">
        <w:trPr>
          <w:trHeight w:val="94"/>
          <w:jc w:val="center"/>
        </w:trPr>
        <w:tc>
          <w:tcPr>
            <w:tcW w:w="0" w:type="auto"/>
            <w:noWrap/>
            <w:vAlign w:val="center"/>
            <w:hideMark/>
          </w:tcPr>
          <w:p w14:paraId="0CF6553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22</w:t>
            </w:r>
          </w:p>
        </w:tc>
        <w:tc>
          <w:tcPr>
            <w:tcW w:w="0" w:type="auto"/>
            <w:vAlign w:val="center"/>
            <w:hideMark/>
          </w:tcPr>
          <w:p w14:paraId="61311C7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IMPUESTOS, GRAVAMENES Y TASAS</w:t>
            </w:r>
          </w:p>
        </w:tc>
        <w:tc>
          <w:tcPr>
            <w:tcW w:w="0" w:type="auto"/>
            <w:noWrap/>
            <w:vAlign w:val="center"/>
            <w:hideMark/>
          </w:tcPr>
          <w:p w14:paraId="341CEAA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$ 3.703,653</w:t>
            </w:r>
          </w:p>
        </w:tc>
        <w:tc>
          <w:tcPr>
            <w:tcW w:w="0" w:type="auto"/>
            <w:noWrap/>
            <w:vAlign w:val="center"/>
            <w:hideMark/>
          </w:tcPr>
          <w:p w14:paraId="5461D23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$ 7.903,299</w:t>
            </w:r>
          </w:p>
        </w:tc>
        <w:tc>
          <w:tcPr>
            <w:tcW w:w="0" w:type="auto"/>
            <w:noWrap/>
            <w:vAlign w:val="center"/>
            <w:hideMark/>
          </w:tcPr>
          <w:p w14:paraId="47CA7C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$ 6.453,466</w:t>
            </w:r>
          </w:p>
        </w:tc>
        <w:tc>
          <w:tcPr>
            <w:tcW w:w="0" w:type="auto"/>
            <w:noWrap/>
            <w:vAlign w:val="center"/>
            <w:hideMark/>
          </w:tcPr>
          <w:p w14:paraId="3E25384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$ 4.239,427</w:t>
            </w:r>
          </w:p>
        </w:tc>
        <w:tc>
          <w:tcPr>
            <w:tcW w:w="0" w:type="auto"/>
            <w:noWrap/>
            <w:vAlign w:val="center"/>
            <w:hideMark/>
          </w:tcPr>
          <w:p w14:paraId="34ECB7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$ 7.626,105</w:t>
            </w:r>
          </w:p>
        </w:tc>
      </w:tr>
      <w:tr w:rsidR="00C95308" w:rsidRPr="00EC51A0" w14:paraId="6356583C" w14:textId="77777777" w:rsidTr="0064323B">
        <w:trPr>
          <w:trHeight w:val="66"/>
          <w:jc w:val="center"/>
        </w:trPr>
        <w:tc>
          <w:tcPr>
            <w:tcW w:w="0" w:type="auto"/>
            <w:noWrap/>
            <w:vAlign w:val="center"/>
            <w:hideMark/>
          </w:tcPr>
          <w:p w14:paraId="55F95D5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23</w:t>
            </w:r>
          </w:p>
        </w:tc>
        <w:tc>
          <w:tcPr>
            <w:tcW w:w="0" w:type="auto"/>
            <w:vAlign w:val="center"/>
            <w:hideMark/>
          </w:tcPr>
          <w:p w14:paraId="5A7F15A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BENEFICIOS A LOS EMPLEADOS</w:t>
            </w:r>
          </w:p>
        </w:tc>
        <w:tc>
          <w:tcPr>
            <w:tcW w:w="0" w:type="auto"/>
            <w:noWrap/>
            <w:vAlign w:val="center"/>
            <w:hideMark/>
          </w:tcPr>
          <w:p w14:paraId="586E2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$ 6.466,272</w:t>
            </w:r>
          </w:p>
        </w:tc>
        <w:tc>
          <w:tcPr>
            <w:tcW w:w="0" w:type="auto"/>
            <w:noWrap/>
            <w:vAlign w:val="center"/>
            <w:hideMark/>
          </w:tcPr>
          <w:p w14:paraId="15D4DAE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$ 6.865,505</w:t>
            </w:r>
          </w:p>
        </w:tc>
        <w:tc>
          <w:tcPr>
            <w:tcW w:w="0" w:type="auto"/>
            <w:noWrap/>
            <w:vAlign w:val="center"/>
            <w:hideMark/>
          </w:tcPr>
          <w:p w14:paraId="21DD86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$ 6.915,771</w:t>
            </w:r>
          </w:p>
        </w:tc>
        <w:tc>
          <w:tcPr>
            <w:tcW w:w="0" w:type="auto"/>
            <w:noWrap/>
            <w:vAlign w:val="center"/>
            <w:hideMark/>
          </w:tcPr>
          <w:p w14:paraId="4A7E1FD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$ 6.452,100</w:t>
            </w:r>
          </w:p>
        </w:tc>
        <w:tc>
          <w:tcPr>
            <w:tcW w:w="0" w:type="auto"/>
            <w:noWrap/>
            <w:vAlign w:val="center"/>
            <w:hideMark/>
          </w:tcPr>
          <w:p w14:paraId="639843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$ 7.720,047</w:t>
            </w:r>
          </w:p>
        </w:tc>
      </w:tr>
      <w:tr w:rsidR="00C95308" w:rsidRPr="00EC51A0" w14:paraId="403B7873" w14:textId="77777777" w:rsidTr="0064323B">
        <w:trPr>
          <w:trHeight w:val="66"/>
          <w:jc w:val="center"/>
        </w:trPr>
        <w:tc>
          <w:tcPr>
            <w:tcW w:w="0" w:type="auto"/>
            <w:noWrap/>
            <w:vAlign w:val="center"/>
            <w:hideMark/>
          </w:tcPr>
          <w:p w14:paraId="0283E0CC"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24</w:t>
            </w:r>
          </w:p>
        </w:tc>
        <w:tc>
          <w:tcPr>
            <w:tcW w:w="0" w:type="auto"/>
            <w:vAlign w:val="center"/>
            <w:hideMark/>
          </w:tcPr>
          <w:p w14:paraId="1853B44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PROVISIONES</w:t>
            </w:r>
          </w:p>
        </w:tc>
        <w:tc>
          <w:tcPr>
            <w:tcW w:w="0" w:type="auto"/>
            <w:noWrap/>
            <w:vAlign w:val="center"/>
            <w:hideMark/>
          </w:tcPr>
          <w:p w14:paraId="5E37A3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$ 399.391,777</w:t>
            </w:r>
          </w:p>
        </w:tc>
        <w:tc>
          <w:tcPr>
            <w:tcW w:w="0" w:type="auto"/>
            <w:noWrap/>
            <w:vAlign w:val="center"/>
            <w:hideMark/>
          </w:tcPr>
          <w:p w14:paraId="1794773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$ 424.333,452</w:t>
            </w:r>
          </w:p>
        </w:tc>
        <w:tc>
          <w:tcPr>
            <w:tcW w:w="0" w:type="auto"/>
            <w:noWrap/>
            <w:vAlign w:val="center"/>
            <w:hideMark/>
          </w:tcPr>
          <w:p w14:paraId="35AE879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$ 563.031,067</w:t>
            </w:r>
          </w:p>
        </w:tc>
        <w:tc>
          <w:tcPr>
            <w:tcW w:w="0" w:type="auto"/>
            <w:noWrap/>
            <w:vAlign w:val="center"/>
            <w:hideMark/>
          </w:tcPr>
          <w:p w14:paraId="0393B8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$ 1.708.642,413</w:t>
            </w:r>
          </w:p>
        </w:tc>
        <w:tc>
          <w:tcPr>
            <w:tcW w:w="0" w:type="auto"/>
            <w:noWrap/>
            <w:vAlign w:val="center"/>
            <w:hideMark/>
          </w:tcPr>
          <w:p w14:paraId="5529D0C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$ 3.998.686,388</w:t>
            </w:r>
          </w:p>
        </w:tc>
      </w:tr>
      <w:tr w:rsidR="00C95308" w:rsidRPr="00EC51A0" w14:paraId="736E394D" w14:textId="77777777" w:rsidTr="0064323B">
        <w:trPr>
          <w:trHeight w:val="94"/>
          <w:jc w:val="center"/>
        </w:trPr>
        <w:tc>
          <w:tcPr>
            <w:tcW w:w="0" w:type="auto"/>
            <w:noWrap/>
            <w:vAlign w:val="center"/>
            <w:hideMark/>
          </w:tcPr>
          <w:p w14:paraId="4488ADE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25</w:t>
            </w:r>
          </w:p>
        </w:tc>
        <w:tc>
          <w:tcPr>
            <w:tcW w:w="0" w:type="auto"/>
            <w:vAlign w:val="center"/>
            <w:hideMark/>
          </w:tcPr>
          <w:p w14:paraId="4A84D78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PASIVOS DIFERENTES A INSTRUMENTOS FINANCIEROS</w:t>
            </w:r>
          </w:p>
        </w:tc>
        <w:tc>
          <w:tcPr>
            <w:tcW w:w="0" w:type="auto"/>
            <w:noWrap/>
            <w:vAlign w:val="center"/>
            <w:hideMark/>
          </w:tcPr>
          <w:p w14:paraId="654E2B7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$ 1.223,095</w:t>
            </w:r>
          </w:p>
        </w:tc>
        <w:tc>
          <w:tcPr>
            <w:tcW w:w="0" w:type="auto"/>
            <w:noWrap/>
            <w:vAlign w:val="center"/>
            <w:hideMark/>
          </w:tcPr>
          <w:p w14:paraId="02E750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$ 2.700,286</w:t>
            </w:r>
          </w:p>
        </w:tc>
        <w:tc>
          <w:tcPr>
            <w:tcW w:w="0" w:type="auto"/>
            <w:noWrap/>
            <w:vAlign w:val="center"/>
            <w:hideMark/>
          </w:tcPr>
          <w:p w14:paraId="7F07FC2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$ 62.165,225</w:t>
            </w:r>
          </w:p>
        </w:tc>
        <w:tc>
          <w:tcPr>
            <w:tcW w:w="0" w:type="auto"/>
            <w:noWrap/>
            <w:vAlign w:val="center"/>
            <w:hideMark/>
          </w:tcPr>
          <w:p w14:paraId="7061C3E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$ 2.673,365</w:t>
            </w:r>
          </w:p>
        </w:tc>
        <w:tc>
          <w:tcPr>
            <w:tcW w:w="0" w:type="auto"/>
            <w:noWrap/>
            <w:vAlign w:val="center"/>
            <w:hideMark/>
          </w:tcPr>
          <w:p w14:paraId="71A5745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$ 4.305,584</w:t>
            </w:r>
          </w:p>
        </w:tc>
      </w:tr>
      <w:tr w:rsidR="00C95308" w:rsidRPr="00EC51A0" w14:paraId="27F342F0" w14:textId="77777777" w:rsidTr="0064323B">
        <w:trPr>
          <w:trHeight w:val="66"/>
          <w:jc w:val="center"/>
        </w:trPr>
        <w:tc>
          <w:tcPr>
            <w:tcW w:w="0" w:type="auto"/>
            <w:noWrap/>
            <w:vAlign w:val="center"/>
            <w:hideMark/>
          </w:tcPr>
          <w:p w14:paraId="669922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w:t>
            </w:r>
          </w:p>
        </w:tc>
        <w:tc>
          <w:tcPr>
            <w:tcW w:w="0" w:type="auto"/>
            <w:vAlign w:val="center"/>
            <w:hideMark/>
          </w:tcPr>
          <w:p w14:paraId="1BC3E504"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PATRIMONIO</w:t>
            </w:r>
          </w:p>
        </w:tc>
        <w:tc>
          <w:tcPr>
            <w:tcW w:w="0" w:type="auto"/>
            <w:noWrap/>
            <w:vAlign w:val="center"/>
            <w:hideMark/>
          </w:tcPr>
          <w:p w14:paraId="453596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$ 300.430,701</w:t>
            </w:r>
          </w:p>
        </w:tc>
        <w:tc>
          <w:tcPr>
            <w:tcW w:w="0" w:type="auto"/>
            <w:noWrap/>
            <w:vAlign w:val="center"/>
            <w:hideMark/>
          </w:tcPr>
          <w:p w14:paraId="33D31B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$ 331.000,199</w:t>
            </w:r>
          </w:p>
        </w:tc>
        <w:tc>
          <w:tcPr>
            <w:tcW w:w="0" w:type="auto"/>
            <w:noWrap/>
            <w:vAlign w:val="center"/>
            <w:hideMark/>
          </w:tcPr>
          <w:p w14:paraId="44C391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$ 223.456,163</w:t>
            </w:r>
          </w:p>
        </w:tc>
        <w:tc>
          <w:tcPr>
            <w:tcW w:w="0" w:type="auto"/>
            <w:noWrap/>
            <w:vAlign w:val="center"/>
            <w:hideMark/>
          </w:tcPr>
          <w:p w14:paraId="1DA6732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-$ 859.167,967</w:t>
            </w:r>
          </w:p>
        </w:tc>
        <w:tc>
          <w:tcPr>
            <w:tcW w:w="0" w:type="auto"/>
            <w:noWrap/>
            <w:vAlign w:val="center"/>
            <w:hideMark/>
          </w:tcPr>
          <w:p w14:paraId="159C4AE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-$ 3.718.113,630</w:t>
            </w:r>
          </w:p>
        </w:tc>
      </w:tr>
      <w:tr w:rsidR="00C95308" w:rsidRPr="00EC51A0" w14:paraId="64EC6246" w14:textId="77777777" w:rsidTr="0064323B">
        <w:trPr>
          <w:trHeight w:val="94"/>
          <w:jc w:val="center"/>
        </w:trPr>
        <w:tc>
          <w:tcPr>
            <w:tcW w:w="0" w:type="auto"/>
            <w:noWrap/>
            <w:vAlign w:val="center"/>
            <w:hideMark/>
          </w:tcPr>
          <w:p w14:paraId="3A5BA6B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31</w:t>
            </w:r>
          </w:p>
        </w:tc>
        <w:tc>
          <w:tcPr>
            <w:tcW w:w="0" w:type="auto"/>
            <w:vAlign w:val="center"/>
            <w:hideMark/>
          </w:tcPr>
          <w:p w14:paraId="69167BF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PATRIMONIO DE LAS ENTIDADES</w:t>
            </w:r>
          </w:p>
        </w:tc>
        <w:tc>
          <w:tcPr>
            <w:tcW w:w="0" w:type="auto"/>
            <w:noWrap/>
            <w:vAlign w:val="center"/>
            <w:hideMark/>
          </w:tcPr>
          <w:p w14:paraId="1E9D836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1BC6B8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319CDA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$ 27.450,000</w:t>
            </w:r>
          </w:p>
        </w:tc>
        <w:tc>
          <w:tcPr>
            <w:tcW w:w="0" w:type="auto"/>
            <w:noWrap/>
            <w:vAlign w:val="center"/>
            <w:hideMark/>
          </w:tcPr>
          <w:p w14:paraId="69754CD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c>
          <w:tcPr>
            <w:tcW w:w="0" w:type="auto"/>
            <w:noWrap/>
            <w:vAlign w:val="center"/>
            <w:hideMark/>
          </w:tcPr>
          <w:p w14:paraId="541281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r>
      <w:tr w:rsidR="00C95308" w:rsidRPr="00EC51A0" w14:paraId="2092FB13" w14:textId="77777777" w:rsidTr="0064323B">
        <w:trPr>
          <w:trHeight w:val="66"/>
          <w:jc w:val="center"/>
        </w:trPr>
        <w:tc>
          <w:tcPr>
            <w:tcW w:w="0" w:type="auto"/>
            <w:noWrap/>
            <w:vAlign w:val="center"/>
            <w:hideMark/>
          </w:tcPr>
          <w:p w14:paraId="5B82FFE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32</w:t>
            </w:r>
          </w:p>
        </w:tc>
        <w:tc>
          <w:tcPr>
            <w:tcW w:w="0" w:type="auto"/>
            <w:vAlign w:val="center"/>
            <w:hideMark/>
          </w:tcPr>
          <w:p w14:paraId="4B9F3C8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SUPERÁVIT DE CAPITAL</w:t>
            </w:r>
          </w:p>
        </w:tc>
        <w:tc>
          <w:tcPr>
            <w:tcW w:w="0" w:type="auto"/>
            <w:noWrap/>
            <w:vAlign w:val="center"/>
            <w:hideMark/>
          </w:tcPr>
          <w:p w14:paraId="36E195B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0739F17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54F217F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$ 35.910,574</w:t>
            </w:r>
          </w:p>
        </w:tc>
        <w:tc>
          <w:tcPr>
            <w:tcW w:w="0" w:type="auto"/>
            <w:noWrap/>
            <w:vAlign w:val="center"/>
            <w:hideMark/>
          </w:tcPr>
          <w:p w14:paraId="668EF4A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c>
          <w:tcPr>
            <w:tcW w:w="0" w:type="auto"/>
            <w:noWrap/>
            <w:vAlign w:val="center"/>
            <w:hideMark/>
          </w:tcPr>
          <w:p w14:paraId="154C06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r>
      <w:tr w:rsidR="00C95308" w:rsidRPr="00EC51A0" w14:paraId="3ACDC223" w14:textId="77777777" w:rsidTr="0064323B">
        <w:trPr>
          <w:trHeight w:val="66"/>
          <w:jc w:val="center"/>
        </w:trPr>
        <w:tc>
          <w:tcPr>
            <w:tcW w:w="0" w:type="auto"/>
            <w:noWrap/>
            <w:vAlign w:val="center"/>
            <w:hideMark/>
          </w:tcPr>
          <w:p w14:paraId="41B6C3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33</w:t>
            </w:r>
          </w:p>
        </w:tc>
        <w:tc>
          <w:tcPr>
            <w:tcW w:w="0" w:type="auto"/>
            <w:vAlign w:val="center"/>
            <w:hideMark/>
          </w:tcPr>
          <w:p w14:paraId="1B72DC1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RESERVAS</w:t>
            </w:r>
          </w:p>
        </w:tc>
        <w:tc>
          <w:tcPr>
            <w:tcW w:w="0" w:type="auto"/>
            <w:noWrap/>
            <w:vAlign w:val="center"/>
            <w:hideMark/>
          </w:tcPr>
          <w:p w14:paraId="20718B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$ 60.312,528</w:t>
            </w:r>
          </w:p>
        </w:tc>
        <w:tc>
          <w:tcPr>
            <w:tcW w:w="0" w:type="auto"/>
            <w:noWrap/>
            <w:vAlign w:val="center"/>
            <w:hideMark/>
          </w:tcPr>
          <w:p w14:paraId="3EFB323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$ 78.427,302</w:t>
            </w:r>
          </w:p>
        </w:tc>
        <w:tc>
          <w:tcPr>
            <w:tcW w:w="0" w:type="auto"/>
            <w:noWrap/>
            <w:vAlign w:val="center"/>
            <w:hideMark/>
          </w:tcPr>
          <w:p w14:paraId="45C1545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$ 188.804,557</w:t>
            </w:r>
          </w:p>
        </w:tc>
        <w:tc>
          <w:tcPr>
            <w:tcW w:w="0" w:type="auto"/>
            <w:noWrap/>
            <w:vAlign w:val="center"/>
            <w:hideMark/>
          </w:tcPr>
          <w:p w14:paraId="24CEA0C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c>
          <w:tcPr>
            <w:tcW w:w="0" w:type="auto"/>
            <w:noWrap/>
            <w:vAlign w:val="center"/>
            <w:hideMark/>
          </w:tcPr>
          <w:p w14:paraId="25FB753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r>
      <w:tr w:rsidR="00C95308" w:rsidRPr="00EC51A0" w14:paraId="3219EBCD" w14:textId="77777777" w:rsidTr="0064323B">
        <w:trPr>
          <w:trHeight w:val="66"/>
          <w:jc w:val="center"/>
        </w:trPr>
        <w:tc>
          <w:tcPr>
            <w:tcW w:w="0" w:type="auto"/>
            <w:noWrap/>
            <w:vAlign w:val="center"/>
            <w:hideMark/>
          </w:tcPr>
          <w:p w14:paraId="029D80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35</w:t>
            </w:r>
          </w:p>
        </w:tc>
        <w:tc>
          <w:tcPr>
            <w:tcW w:w="0" w:type="auto"/>
            <w:vAlign w:val="center"/>
            <w:hideMark/>
          </w:tcPr>
          <w:p w14:paraId="6F62E1E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RESULTADOS</w:t>
            </w:r>
          </w:p>
        </w:tc>
        <w:tc>
          <w:tcPr>
            <w:tcW w:w="0" w:type="auto"/>
            <w:noWrap/>
            <w:vAlign w:val="center"/>
            <w:hideMark/>
          </w:tcPr>
          <w:p w14:paraId="3F816C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6323DF6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723E0C5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16C5FF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5AA52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-$ 4.001.635,780</w:t>
            </w:r>
          </w:p>
        </w:tc>
      </w:tr>
      <w:tr w:rsidR="00C95308" w:rsidRPr="00EC51A0" w14:paraId="44DB37CF" w14:textId="77777777" w:rsidTr="0064323B">
        <w:trPr>
          <w:trHeight w:val="66"/>
          <w:jc w:val="center"/>
        </w:trPr>
        <w:tc>
          <w:tcPr>
            <w:tcW w:w="0" w:type="auto"/>
            <w:noWrap/>
            <w:vAlign w:val="center"/>
            <w:hideMark/>
          </w:tcPr>
          <w:p w14:paraId="2777EAB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w:t>
            </w:r>
          </w:p>
        </w:tc>
        <w:tc>
          <w:tcPr>
            <w:tcW w:w="0" w:type="auto"/>
            <w:vAlign w:val="center"/>
            <w:hideMark/>
          </w:tcPr>
          <w:p w14:paraId="3E74671E"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INGRESOS</w:t>
            </w:r>
          </w:p>
        </w:tc>
        <w:tc>
          <w:tcPr>
            <w:tcW w:w="0" w:type="auto"/>
            <w:noWrap/>
            <w:vAlign w:val="center"/>
            <w:hideMark/>
          </w:tcPr>
          <w:p w14:paraId="12A4AE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$ 3.350.128,957</w:t>
            </w:r>
          </w:p>
        </w:tc>
        <w:tc>
          <w:tcPr>
            <w:tcW w:w="0" w:type="auto"/>
            <w:noWrap/>
            <w:vAlign w:val="center"/>
            <w:hideMark/>
          </w:tcPr>
          <w:p w14:paraId="52BFE0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$ 4.079.289,327</w:t>
            </w:r>
          </w:p>
        </w:tc>
        <w:tc>
          <w:tcPr>
            <w:tcW w:w="0" w:type="auto"/>
            <w:noWrap/>
            <w:vAlign w:val="center"/>
            <w:hideMark/>
          </w:tcPr>
          <w:p w14:paraId="260D788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$ 4.841.487,360</w:t>
            </w:r>
          </w:p>
        </w:tc>
        <w:tc>
          <w:tcPr>
            <w:tcW w:w="0" w:type="auto"/>
            <w:noWrap/>
            <w:vAlign w:val="center"/>
            <w:hideMark/>
          </w:tcPr>
          <w:p w14:paraId="6DD61C4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$ 5.380.910,364</w:t>
            </w:r>
          </w:p>
        </w:tc>
        <w:tc>
          <w:tcPr>
            <w:tcW w:w="0" w:type="auto"/>
            <w:noWrap/>
            <w:vAlign w:val="center"/>
            <w:hideMark/>
          </w:tcPr>
          <w:p w14:paraId="4A088B7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$ 5.789.705,651</w:t>
            </w:r>
          </w:p>
        </w:tc>
      </w:tr>
      <w:tr w:rsidR="00C95308" w:rsidRPr="00EC51A0" w14:paraId="49724E33" w14:textId="77777777" w:rsidTr="0064323B">
        <w:trPr>
          <w:trHeight w:val="142"/>
          <w:jc w:val="center"/>
        </w:trPr>
        <w:tc>
          <w:tcPr>
            <w:tcW w:w="0" w:type="auto"/>
            <w:noWrap/>
            <w:vAlign w:val="center"/>
            <w:hideMark/>
          </w:tcPr>
          <w:p w14:paraId="28F8E96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41</w:t>
            </w:r>
          </w:p>
        </w:tc>
        <w:tc>
          <w:tcPr>
            <w:tcW w:w="0" w:type="auto"/>
            <w:vAlign w:val="center"/>
            <w:hideMark/>
          </w:tcPr>
          <w:p w14:paraId="701EC8C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INGRESOS DE ACTIVIDADES ORDINARIAS DE LAS ENTIDADES QUE CONFORMAN EL SGSSS</w:t>
            </w:r>
          </w:p>
        </w:tc>
        <w:tc>
          <w:tcPr>
            <w:tcW w:w="0" w:type="auto"/>
            <w:noWrap/>
            <w:vAlign w:val="center"/>
            <w:hideMark/>
          </w:tcPr>
          <w:p w14:paraId="6809EC4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$ 3.343.099,563</w:t>
            </w:r>
          </w:p>
        </w:tc>
        <w:tc>
          <w:tcPr>
            <w:tcW w:w="0" w:type="auto"/>
            <w:noWrap/>
            <w:vAlign w:val="center"/>
            <w:hideMark/>
          </w:tcPr>
          <w:p w14:paraId="5FBB87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$ 3.983.288,635</w:t>
            </w:r>
          </w:p>
        </w:tc>
        <w:tc>
          <w:tcPr>
            <w:tcW w:w="0" w:type="auto"/>
            <w:noWrap/>
            <w:vAlign w:val="center"/>
            <w:hideMark/>
          </w:tcPr>
          <w:p w14:paraId="384A8D4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$ 4.794.341,330</w:t>
            </w:r>
          </w:p>
        </w:tc>
        <w:tc>
          <w:tcPr>
            <w:tcW w:w="0" w:type="auto"/>
            <w:noWrap/>
            <w:vAlign w:val="center"/>
            <w:hideMark/>
          </w:tcPr>
          <w:p w14:paraId="1F198F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$ 5.353.791,999</w:t>
            </w:r>
          </w:p>
        </w:tc>
        <w:tc>
          <w:tcPr>
            <w:tcW w:w="0" w:type="auto"/>
            <w:noWrap/>
            <w:vAlign w:val="center"/>
            <w:hideMark/>
          </w:tcPr>
          <w:p w14:paraId="32B0F34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$ 5.751.675,649</w:t>
            </w:r>
          </w:p>
        </w:tc>
      </w:tr>
      <w:tr w:rsidR="00C95308" w:rsidRPr="00EC51A0" w14:paraId="42A7CD16" w14:textId="77777777" w:rsidTr="0064323B">
        <w:trPr>
          <w:trHeight w:val="94"/>
          <w:jc w:val="center"/>
        </w:trPr>
        <w:tc>
          <w:tcPr>
            <w:tcW w:w="0" w:type="auto"/>
            <w:noWrap/>
            <w:vAlign w:val="center"/>
            <w:hideMark/>
          </w:tcPr>
          <w:p w14:paraId="412EDF1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42</w:t>
            </w:r>
          </w:p>
        </w:tc>
        <w:tc>
          <w:tcPr>
            <w:tcW w:w="0" w:type="auto"/>
            <w:vAlign w:val="center"/>
            <w:hideMark/>
          </w:tcPr>
          <w:p w14:paraId="3E30F95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INGRESOS DE OPERACIÓN</w:t>
            </w:r>
          </w:p>
        </w:tc>
        <w:tc>
          <w:tcPr>
            <w:tcW w:w="0" w:type="auto"/>
            <w:noWrap/>
            <w:vAlign w:val="center"/>
            <w:hideMark/>
          </w:tcPr>
          <w:p w14:paraId="77D9D70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$ 7.029,394</w:t>
            </w:r>
          </w:p>
        </w:tc>
        <w:tc>
          <w:tcPr>
            <w:tcW w:w="0" w:type="auto"/>
            <w:noWrap/>
            <w:vAlign w:val="center"/>
            <w:hideMark/>
          </w:tcPr>
          <w:p w14:paraId="7B1B9E6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$ 96.000,692</w:t>
            </w:r>
          </w:p>
        </w:tc>
        <w:tc>
          <w:tcPr>
            <w:tcW w:w="0" w:type="auto"/>
            <w:noWrap/>
            <w:vAlign w:val="center"/>
            <w:hideMark/>
          </w:tcPr>
          <w:p w14:paraId="6D99CF4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$ 47.146,030</w:t>
            </w:r>
          </w:p>
        </w:tc>
        <w:tc>
          <w:tcPr>
            <w:tcW w:w="0" w:type="auto"/>
            <w:noWrap/>
            <w:vAlign w:val="center"/>
            <w:hideMark/>
          </w:tcPr>
          <w:p w14:paraId="40B1D7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$ 27.118,365</w:t>
            </w:r>
          </w:p>
        </w:tc>
        <w:tc>
          <w:tcPr>
            <w:tcW w:w="0" w:type="auto"/>
            <w:noWrap/>
            <w:vAlign w:val="center"/>
            <w:hideMark/>
          </w:tcPr>
          <w:p w14:paraId="01A8C5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$ 38.030,002</w:t>
            </w:r>
          </w:p>
        </w:tc>
      </w:tr>
      <w:tr w:rsidR="00C95308" w:rsidRPr="00EC51A0" w14:paraId="6E7AC65D" w14:textId="77777777" w:rsidTr="0064323B">
        <w:trPr>
          <w:trHeight w:val="66"/>
          <w:jc w:val="center"/>
        </w:trPr>
        <w:tc>
          <w:tcPr>
            <w:tcW w:w="0" w:type="auto"/>
            <w:noWrap/>
            <w:vAlign w:val="center"/>
            <w:hideMark/>
          </w:tcPr>
          <w:p w14:paraId="3A73921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w:t>
            </w:r>
          </w:p>
        </w:tc>
        <w:tc>
          <w:tcPr>
            <w:tcW w:w="0" w:type="auto"/>
            <w:vAlign w:val="center"/>
            <w:hideMark/>
          </w:tcPr>
          <w:p w14:paraId="7EB8847F" w14:textId="476A3443"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GASTOS</w:t>
            </w:r>
            <w:r w:rsidR="00F30E29">
              <w:rPr>
                <w:rStyle w:val="Refdenotaalpie"/>
                <w:rFonts w:ascii="Arial" w:hAnsi="Arial" w:cs="Arial"/>
                <w:b/>
                <w:bCs/>
                <w:color w:val="000000"/>
                <w:sz w:val="16"/>
                <w:szCs w:val="16"/>
              </w:rPr>
              <w:footnoteReference w:id="12"/>
            </w:r>
          </w:p>
        </w:tc>
        <w:tc>
          <w:tcPr>
            <w:tcW w:w="0" w:type="auto"/>
            <w:noWrap/>
            <w:vAlign w:val="center"/>
            <w:hideMark/>
          </w:tcPr>
          <w:p w14:paraId="07BFFD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$ 297.887,883</w:t>
            </w:r>
          </w:p>
        </w:tc>
        <w:tc>
          <w:tcPr>
            <w:tcW w:w="0" w:type="auto"/>
            <w:noWrap/>
            <w:vAlign w:val="center"/>
            <w:hideMark/>
          </w:tcPr>
          <w:p w14:paraId="6B7CC48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$ 353.330,541</w:t>
            </w:r>
          </w:p>
        </w:tc>
        <w:tc>
          <w:tcPr>
            <w:tcW w:w="0" w:type="auto"/>
            <w:noWrap/>
            <w:vAlign w:val="center"/>
            <w:hideMark/>
          </w:tcPr>
          <w:p w14:paraId="2C8D97E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$ 203.995,126</w:t>
            </w:r>
          </w:p>
        </w:tc>
        <w:tc>
          <w:tcPr>
            <w:tcW w:w="0" w:type="auto"/>
            <w:noWrap/>
            <w:vAlign w:val="center"/>
            <w:hideMark/>
          </w:tcPr>
          <w:p w14:paraId="4F08B5B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-$ 799.470,099</w:t>
            </w:r>
          </w:p>
        </w:tc>
        <w:tc>
          <w:tcPr>
            <w:tcW w:w="0" w:type="auto"/>
            <w:noWrap/>
            <w:vAlign w:val="center"/>
            <w:hideMark/>
          </w:tcPr>
          <w:p w14:paraId="1C2FBD3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-$ 1.862.415,979</w:t>
            </w:r>
          </w:p>
        </w:tc>
      </w:tr>
      <w:tr w:rsidR="00C95308" w:rsidRPr="00EC51A0" w14:paraId="4631E871" w14:textId="77777777" w:rsidTr="0064323B">
        <w:trPr>
          <w:trHeight w:val="66"/>
          <w:jc w:val="center"/>
        </w:trPr>
        <w:tc>
          <w:tcPr>
            <w:tcW w:w="0" w:type="auto"/>
            <w:noWrap/>
            <w:vAlign w:val="center"/>
            <w:hideMark/>
          </w:tcPr>
          <w:p w14:paraId="7718C06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51</w:t>
            </w:r>
          </w:p>
        </w:tc>
        <w:tc>
          <w:tcPr>
            <w:tcW w:w="0" w:type="auto"/>
            <w:vAlign w:val="center"/>
            <w:hideMark/>
          </w:tcPr>
          <w:p w14:paraId="0B9997A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DE ADMINISTRACION</w:t>
            </w:r>
          </w:p>
        </w:tc>
        <w:tc>
          <w:tcPr>
            <w:tcW w:w="0" w:type="auto"/>
            <w:noWrap/>
            <w:vAlign w:val="center"/>
            <w:hideMark/>
          </w:tcPr>
          <w:p w14:paraId="1E5C3E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$ 158.578,877</w:t>
            </w:r>
          </w:p>
        </w:tc>
        <w:tc>
          <w:tcPr>
            <w:tcW w:w="0" w:type="auto"/>
            <w:noWrap/>
            <w:vAlign w:val="center"/>
            <w:hideMark/>
          </w:tcPr>
          <w:p w14:paraId="53E159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$ 194.325,442</w:t>
            </w:r>
          </w:p>
        </w:tc>
        <w:tc>
          <w:tcPr>
            <w:tcW w:w="0" w:type="auto"/>
            <w:noWrap/>
            <w:vAlign w:val="center"/>
            <w:hideMark/>
          </w:tcPr>
          <w:p w14:paraId="072C706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$ 198.662,908</w:t>
            </w:r>
          </w:p>
        </w:tc>
        <w:tc>
          <w:tcPr>
            <w:tcW w:w="0" w:type="auto"/>
            <w:noWrap/>
            <w:vAlign w:val="center"/>
            <w:hideMark/>
          </w:tcPr>
          <w:p w14:paraId="4EE0586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$ 316.502,098</w:t>
            </w:r>
          </w:p>
        </w:tc>
        <w:tc>
          <w:tcPr>
            <w:tcW w:w="0" w:type="auto"/>
            <w:noWrap/>
            <w:vAlign w:val="center"/>
            <w:hideMark/>
          </w:tcPr>
          <w:p w14:paraId="0FABA0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$ 463.552,554</w:t>
            </w:r>
          </w:p>
        </w:tc>
      </w:tr>
      <w:tr w:rsidR="00C95308" w:rsidRPr="00EC51A0" w14:paraId="37230463" w14:textId="77777777" w:rsidTr="0064323B">
        <w:trPr>
          <w:trHeight w:val="66"/>
          <w:jc w:val="center"/>
        </w:trPr>
        <w:tc>
          <w:tcPr>
            <w:tcW w:w="0" w:type="auto"/>
            <w:noWrap/>
            <w:vAlign w:val="center"/>
            <w:hideMark/>
          </w:tcPr>
          <w:p w14:paraId="03AF068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53</w:t>
            </w:r>
          </w:p>
        </w:tc>
        <w:tc>
          <w:tcPr>
            <w:tcW w:w="0" w:type="auto"/>
            <w:vAlign w:val="center"/>
            <w:hideMark/>
          </w:tcPr>
          <w:p w14:paraId="6C9B1E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FINANCIEROS</w:t>
            </w:r>
          </w:p>
        </w:tc>
        <w:tc>
          <w:tcPr>
            <w:tcW w:w="0" w:type="auto"/>
            <w:noWrap/>
            <w:vAlign w:val="center"/>
            <w:hideMark/>
          </w:tcPr>
          <w:p w14:paraId="15E80EF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$ 17.756,473</w:t>
            </w:r>
          </w:p>
        </w:tc>
        <w:tc>
          <w:tcPr>
            <w:tcW w:w="0" w:type="auto"/>
            <w:noWrap/>
            <w:vAlign w:val="center"/>
            <w:hideMark/>
          </w:tcPr>
          <w:p w14:paraId="0293742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$ 24.906,759</w:t>
            </w:r>
          </w:p>
        </w:tc>
        <w:tc>
          <w:tcPr>
            <w:tcW w:w="0" w:type="auto"/>
            <w:noWrap/>
            <w:vAlign w:val="center"/>
            <w:hideMark/>
          </w:tcPr>
          <w:p w14:paraId="6DDB9B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$ 33.566,207</w:t>
            </w:r>
          </w:p>
        </w:tc>
        <w:tc>
          <w:tcPr>
            <w:tcW w:w="0" w:type="auto"/>
            <w:noWrap/>
            <w:vAlign w:val="center"/>
            <w:hideMark/>
          </w:tcPr>
          <w:p w14:paraId="1CF460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$ 26.717,919</w:t>
            </w:r>
          </w:p>
        </w:tc>
        <w:tc>
          <w:tcPr>
            <w:tcW w:w="0" w:type="auto"/>
            <w:noWrap/>
            <w:vAlign w:val="center"/>
            <w:hideMark/>
          </w:tcPr>
          <w:p w14:paraId="6635C0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$ 13.577,736</w:t>
            </w:r>
          </w:p>
        </w:tc>
      </w:tr>
      <w:tr w:rsidR="00C95308" w:rsidRPr="00EC51A0" w14:paraId="313EEE13" w14:textId="77777777" w:rsidTr="0064323B">
        <w:trPr>
          <w:trHeight w:val="66"/>
          <w:jc w:val="center"/>
        </w:trPr>
        <w:tc>
          <w:tcPr>
            <w:tcW w:w="0" w:type="auto"/>
            <w:noWrap/>
            <w:vAlign w:val="center"/>
            <w:hideMark/>
          </w:tcPr>
          <w:p w14:paraId="556C230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55</w:t>
            </w:r>
          </w:p>
        </w:tc>
        <w:tc>
          <w:tcPr>
            <w:tcW w:w="0" w:type="auto"/>
            <w:vAlign w:val="center"/>
            <w:hideMark/>
          </w:tcPr>
          <w:p w14:paraId="3089A8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 A LAS GANANCIAS</w:t>
            </w:r>
          </w:p>
        </w:tc>
        <w:tc>
          <w:tcPr>
            <w:tcW w:w="0" w:type="auto"/>
            <w:noWrap/>
            <w:vAlign w:val="center"/>
            <w:hideMark/>
          </w:tcPr>
          <w:p w14:paraId="2C1D9CB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$ 4.860,922</w:t>
            </w:r>
          </w:p>
        </w:tc>
        <w:tc>
          <w:tcPr>
            <w:tcW w:w="0" w:type="auto"/>
            <w:noWrap/>
            <w:vAlign w:val="center"/>
            <w:hideMark/>
          </w:tcPr>
          <w:p w14:paraId="0711BC9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$ 10.056,787</w:t>
            </w:r>
          </w:p>
        </w:tc>
        <w:tc>
          <w:tcPr>
            <w:tcW w:w="0" w:type="auto"/>
            <w:noWrap/>
            <w:vAlign w:val="center"/>
            <w:hideMark/>
          </w:tcPr>
          <w:p w14:paraId="4E7D023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$ 5.579,763</w:t>
            </w:r>
          </w:p>
        </w:tc>
        <w:tc>
          <w:tcPr>
            <w:tcW w:w="0" w:type="auto"/>
            <w:noWrap/>
            <w:vAlign w:val="center"/>
            <w:hideMark/>
          </w:tcPr>
          <w:p w14:paraId="2CC9C5A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3B065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$ 474,718</w:t>
            </w:r>
          </w:p>
        </w:tc>
      </w:tr>
      <w:tr w:rsidR="00C95308" w:rsidRPr="00EC51A0" w14:paraId="4BFE024A" w14:textId="77777777" w:rsidTr="0064323B">
        <w:trPr>
          <w:trHeight w:val="94"/>
          <w:jc w:val="center"/>
        </w:trPr>
        <w:tc>
          <w:tcPr>
            <w:tcW w:w="0" w:type="auto"/>
            <w:noWrap/>
            <w:vAlign w:val="center"/>
            <w:hideMark/>
          </w:tcPr>
          <w:p w14:paraId="56401F0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56</w:t>
            </w:r>
          </w:p>
        </w:tc>
        <w:tc>
          <w:tcPr>
            <w:tcW w:w="0" w:type="auto"/>
            <w:vAlign w:val="center"/>
            <w:hideMark/>
          </w:tcPr>
          <w:p w14:paraId="74F2238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CIERRE DE INGRESOS, GASTOS Y COSTOS</w:t>
            </w:r>
          </w:p>
        </w:tc>
        <w:tc>
          <w:tcPr>
            <w:tcW w:w="0" w:type="auto"/>
            <w:noWrap/>
            <w:vAlign w:val="center"/>
            <w:hideMark/>
          </w:tcPr>
          <w:p w14:paraId="08490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$ 116.691,612</w:t>
            </w:r>
          </w:p>
        </w:tc>
        <w:tc>
          <w:tcPr>
            <w:tcW w:w="0" w:type="auto"/>
            <w:noWrap/>
            <w:vAlign w:val="center"/>
            <w:hideMark/>
          </w:tcPr>
          <w:p w14:paraId="751BBD0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$ 124.041,552</w:t>
            </w:r>
          </w:p>
        </w:tc>
        <w:tc>
          <w:tcPr>
            <w:tcW w:w="0" w:type="auto"/>
            <w:noWrap/>
            <w:vAlign w:val="center"/>
            <w:hideMark/>
          </w:tcPr>
          <w:p w14:paraId="442F85B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-$ 33.813,752</w:t>
            </w:r>
          </w:p>
        </w:tc>
        <w:tc>
          <w:tcPr>
            <w:tcW w:w="0" w:type="auto"/>
            <w:noWrap/>
            <w:vAlign w:val="center"/>
            <w:hideMark/>
          </w:tcPr>
          <w:p w14:paraId="6E29A5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EAFDE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-$ 2.340.020,988</w:t>
            </w:r>
          </w:p>
        </w:tc>
      </w:tr>
      <w:tr w:rsidR="00C95308" w:rsidRPr="00EC51A0" w14:paraId="5AA6F632" w14:textId="77777777" w:rsidTr="0064323B">
        <w:trPr>
          <w:trHeight w:val="142"/>
          <w:jc w:val="center"/>
        </w:trPr>
        <w:tc>
          <w:tcPr>
            <w:tcW w:w="0" w:type="auto"/>
            <w:noWrap/>
            <w:vAlign w:val="center"/>
            <w:hideMark/>
          </w:tcPr>
          <w:p w14:paraId="6AAAA5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w:t>
            </w:r>
          </w:p>
        </w:tc>
        <w:tc>
          <w:tcPr>
            <w:tcW w:w="0" w:type="auto"/>
            <w:vAlign w:val="center"/>
            <w:hideMark/>
          </w:tcPr>
          <w:p w14:paraId="2F927652"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 xml:space="preserve">TOTAL, COSTOS DEL SISTEMA </w:t>
            </w:r>
            <w:r w:rsidRPr="00EC51A0">
              <w:rPr>
                <w:rFonts w:ascii="Arial" w:hAnsi="Arial" w:cs="Arial"/>
                <w:b/>
                <w:bCs/>
                <w:color w:val="000000"/>
                <w:sz w:val="16"/>
                <w:szCs w:val="16"/>
              </w:rPr>
              <w:lastRenderedPageBreak/>
              <w:t>GENERAL DE SEGURIDAD SOCIAL EN SALUD</w:t>
            </w:r>
          </w:p>
        </w:tc>
        <w:tc>
          <w:tcPr>
            <w:tcW w:w="0" w:type="auto"/>
            <w:noWrap/>
            <w:vAlign w:val="center"/>
            <w:hideMark/>
          </w:tcPr>
          <w:p w14:paraId="20D1FB1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lastRenderedPageBreak/>
              <w:t>$ 3.052.241,074</w:t>
            </w:r>
          </w:p>
        </w:tc>
        <w:tc>
          <w:tcPr>
            <w:tcW w:w="0" w:type="auto"/>
            <w:noWrap/>
            <w:vAlign w:val="center"/>
            <w:hideMark/>
          </w:tcPr>
          <w:p w14:paraId="329B3A6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081CB4C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5050C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466639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r w:rsidR="00C95308" w:rsidRPr="00EC51A0" w14:paraId="3ECF2007" w14:textId="77777777" w:rsidTr="0064323B">
        <w:trPr>
          <w:trHeight w:val="94"/>
          <w:jc w:val="center"/>
        </w:trPr>
        <w:tc>
          <w:tcPr>
            <w:tcW w:w="0" w:type="auto"/>
            <w:noWrap/>
            <w:vAlign w:val="center"/>
            <w:hideMark/>
          </w:tcPr>
          <w:p w14:paraId="523FB38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61</w:t>
            </w:r>
          </w:p>
        </w:tc>
        <w:tc>
          <w:tcPr>
            <w:tcW w:w="0" w:type="auto"/>
            <w:vAlign w:val="center"/>
            <w:hideMark/>
          </w:tcPr>
          <w:p w14:paraId="70D73A4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COSTOS POR ATENCIÓN EN SALUD</w:t>
            </w:r>
          </w:p>
        </w:tc>
        <w:tc>
          <w:tcPr>
            <w:tcW w:w="0" w:type="auto"/>
            <w:noWrap/>
            <w:vAlign w:val="center"/>
            <w:hideMark/>
          </w:tcPr>
          <w:p w14:paraId="0BE48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59993AE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667689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6C7F90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74C4D93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bl>
    <w:p w14:paraId="17C34F59" w14:textId="44526C4D" w:rsidR="00C95308" w:rsidRDefault="00EF0CE6" w:rsidP="00EF0CE6">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0" w:anchor="/datos-abiertos/documents/760d95890d79460da9715b83b9d27933/about"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78403055" w14:textId="77777777" w:rsidR="00EF0CE6" w:rsidRPr="00EF0CE6" w:rsidRDefault="00EF0CE6" w:rsidP="00EF0CE6">
      <w:pPr>
        <w:spacing w:line="360" w:lineRule="auto"/>
        <w:jc w:val="both"/>
        <w:rPr>
          <w:rFonts w:ascii="Arial" w:eastAsia="Arial" w:hAnsi="Arial" w:cs="Arial"/>
          <w:sz w:val="16"/>
          <w:szCs w:val="16"/>
          <w:lang w:eastAsia="es-CO"/>
        </w:rPr>
      </w:pPr>
    </w:p>
    <w:p w14:paraId="3AC7D4EF"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La información</w:t>
      </w:r>
      <w:r>
        <w:rPr>
          <w:rFonts w:ascii="Arial" w:eastAsia="Arial" w:hAnsi="Arial" w:cs="Arial"/>
          <w:sz w:val="22"/>
          <w:szCs w:val="22"/>
        </w:rPr>
        <w:t xml:space="preserve"> que muestra los estados financieros</w:t>
      </w:r>
      <w:r w:rsidRPr="002B505E">
        <w:rPr>
          <w:rFonts w:ascii="Arial" w:eastAsia="Arial" w:hAnsi="Arial" w:cs="Arial"/>
          <w:sz w:val="22"/>
          <w:szCs w:val="22"/>
        </w:rPr>
        <w:t xml:space="preserve"> de COOSALUD EPS para el periodo 2021–2025 evidencia un deterioro estructural de su posición financiera. Aunque los activos crecieron de $1.202.468,098 millones en 2021 a $2.916.073,288 millones en 2025, este incremento no refleja una mejora en la liquidez ni en la solidez patrimonial, dado que estuvo explicado principalmente por el crecimiento de las cuentas por cobrar, las cuales pasaron de $590.799,264 millones a $2.812.755,502 millones, con un aumento de 376,1%. De hecho, en 2025 este rubro concentró el 96,5% del total del activo, mientras que el efectivo y equivalentes al efectivo descendieron de $601.264,130 millones a $81.326,144 millones, es decir, una reducción de 86,5% frente a 2021. Este comportamiento revela una estructura de activos cada vez menos líquida, con alta dependencia de recursos pendientes de recaudo y menor capacidad inmediata para responder a obligaciones de corto plazo.</w:t>
      </w:r>
    </w:p>
    <w:p w14:paraId="1F40B93B" w14:textId="77777777" w:rsidR="00C95308" w:rsidRPr="002B505E" w:rsidRDefault="00C95308" w:rsidP="00C95308">
      <w:pPr>
        <w:spacing w:line="360" w:lineRule="auto"/>
        <w:jc w:val="both"/>
        <w:rPr>
          <w:rFonts w:ascii="Arial" w:eastAsia="Arial" w:hAnsi="Arial" w:cs="Arial"/>
          <w:sz w:val="22"/>
          <w:szCs w:val="22"/>
        </w:rPr>
      </w:pPr>
    </w:p>
    <w:p w14:paraId="110ECF33"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En contraste, los pasivos mostraron un crecimiento mucho más acelerado que los activos, al pasar de $902.037,397 millones en 2021 a $6.634.186,918 millones en 2025, lo que equivale a un incremento de 635,5%. Este aumento estuvo impulsado principalmente por las provisiones, que ascendieron de $399.391,777 millones a $3.998.686,388 millones, y por los pasivos financieros, que crecieron de $491.252,600 millones a $2.615.848,794 millones. Como resultado, la relación entre pasivos y activos se agravó de manera crítica: mientras en 2021 los pasivos representaban el 75,0% del activo, en 2025 alcanzaron el 227,5%, lo que implica que la entidad no solo perdió su capacidad de respaldo patrimonial, sino que además presenta una situación de sobreendeudamiento. Esta dinámica se refleja en el patrimonio, que pasó de una posición positiva de $300.430,701 millones en 2021 a un saldo negativo de -$3.718.113,630 millones en 2025, profundizado por resultados acumulados negativos de -$4.001.635,780 millones.</w:t>
      </w:r>
    </w:p>
    <w:p w14:paraId="002F84F0" w14:textId="77777777" w:rsidR="00C95308" w:rsidRPr="002B505E" w:rsidRDefault="00C95308" w:rsidP="00C95308">
      <w:pPr>
        <w:spacing w:line="360" w:lineRule="auto"/>
        <w:jc w:val="both"/>
        <w:rPr>
          <w:rFonts w:ascii="Arial" w:eastAsia="Arial" w:hAnsi="Arial" w:cs="Arial"/>
          <w:sz w:val="22"/>
          <w:szCs w:val="22"/>
        </w:rPr>
      </w:pPr>
    </w:p>
    <w:p w14:paraId="3A0BA183" w14:textId="77777777" w:rsidR="00C95308"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lastRenderedPageBreak/>
        <w:t>Desde la perspectiva operacional, si bien los ingresos aumentaron de $3.350.128,957 millones en 2021 a $5.789.705,651 millones en 2025, con una variación de 72,8%, este crecimiento fue insuficiente frente al comportamiento de los costos del sistema de salud, que pasaron de $3.052.241,074 millones a $7.652.121,630 millones, con un incremento de 150,7%. En consecuencia, el peso de los costos sobre los ingresos se deterioró de manera significativa, pasando de 91,1% en 2021 a 132,2% en 2025, lo que indica que desde 2024 los ingresos ya no resultan suficientes para cubrir los costos de atención en salud. A ello se suma el aumento de los gastos de administración, que crecieron de $158.578,877 millones a $463.552,554 millones, reforzando la presión sobre el resultado financiero. En conjunto, estos elementos muestran que COOSALUD EPS enfrenta un escenario de alta fragilidad financiera, caracterizado por pérdida de liquidez, profundización del déficit patrimonial, incremento acelerado del pasivo y una estructura operacional que compromete seriamente su sostenibilidad.</w:t>
      </w:r>
    </w:p>
    <w:p w14:paraId="6B3FEC84" w14:textId="77777777" w:rsidR="00C95308" w:rsidRDefault="00C95308" w:rsidP="00C95308">
      <w:pPr>
        <w:spacing w:line="360" w:lineRule="auto"/>
        <w:jc w:val="both"/>
        <w:rPr>
          <w:rFonts w:ascii="Arial" w:eastAsia="Arial" w:hAnsi="Arial" w:cs="Arial"/>
          <w:sz w:val="22"/>
          <w:szCs w:val="22"/>
        </w:rPr>
      </w:pPr>
    </w:p>
    <w:p w14:paraId="0E616896" w14:textId="77777777" w:rsidR="00C95308" w:rsidRPr="00BC17F8" w:rsidRDefault="00C95308" w:rsidP="00C95308">
      <w:pPr>
        <w:spacing w:line="360" w:lineRule="auto"/>
        <w:jc w:val="both"/>
        <w:rPr>
          <w:rFonts w:ascii="Arial" w:eastAsia="Arial" w:hAnsi="Arial" w:cs="Arial"/>
          <w:sz w:val="22"/>
          <w:szCs w:val="22"/>
        </w:rPr>
      </w:pPr>
      <w:r w:rsidRPr="00BC17F8">
        <w:rPr>
          <w:rFonts w:ascii="Arial" w:eastAsia="Arial" w:hAnsi="Arial" w:cs="Arial"/>
          <w:sz w:val="22"/>
          <w:szCs w:val="22"/>
        </w:rPr>
        <w:t xml:space="preserve">Ahora bien, con el propósito de ilustrar la evolución de la estructura financiera de COOSALUD EPS durante el periodo 2021–2025, a continuación, se presenta la relación entre el total de activos y el total de pasivos de la entidad. Esta comparación permite identificar de manera clara la capacidad de respaldo financiero de la EPS frente al crecimiento de sus obligaciones y constituye un insumo central para valorar su situación de solvencia. En este sentido, el análisis de la </w:t>
      </w:r>
      <w:r>
        <w:rPr>
          <w:rFonts w:ascii="Arial" w:eastAsia="Arial" w:hAnsi="Arial" w:cs="Arial"/>
          <w:sz w:val="22"/>
          <w:szCs w:val="22"/>
        </w:rPr>
        <w:t xml:space="preserve">siguiente </w:t>
      </w:r>
      <w:r w:rsidRPr="00BC17F8">
        <w:rPr>
          <w:rFonts w:ascii="Arial" w:eastAsia="Arial" w:hAnsi="Arial" w:cs="Arial"/>
          <w:sz w:val="22"/>
          <w:szCs w:val="22"/>
        </w:rPr>
        <w:t>gráfica permite profundizar en la magnitud de este desbalance y en sus implicaciones para la estabilidad financiera de COOSALUD EPS.</w:t>
      </w:r>
    </w:p>
    <w:p w14:paraId="49F5F3DF" w14:textId="77777777" w:rsidR="00C95308" w:rsidRPr="00BC17F8" w:rsidRDefault="00C95308" w:rsidP="00C95308">
      <w:pPr>
        <w:rPr>
          <w:rFonts w:eastAsia="Arial"/>
        </w:rPr>
      </w:pPr>
    </w:p>
    <w:p w14:paraId="7B998062" w14:textId="2DD7B5E7" w:rsidR="00C95308" w:rsidRPr="00241C29" w:rsidRDefault="00E2542F" w:rsidP="00C95308">
      <w:pPr>
        <w:pStyle w:val="Descripcin"/>
        <w:spacing w:after="0" w:line="360" w:lineRule="auto"/>
        <w:jc w:val="both"/>
        <w:rPr>
          <w:rFonts w:ascii="Arial" w:eastAsia="Arial" w:hAnsi="Arial" w:cs="Arial"/>
          <w:i w:val="0"/>
          <w:iCs w:val="0"/>
          <w:sz w:val="22"/>
          <w:szCs w:val="22"/>
          <w:lang w:val="es-ES"/>
        </w:rPr>
      </w:pPr>
      <w:bookmarkStart w:id="65" w:name="_Toc229395923"/>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F30E29">
        <w:rPr>
          <w:rFonts w:ascii="Arial" w:eastAsia="Arial" w:hAnsi="Arial" w:cs="Arial"/>
          <w:i w:val="0"/>
          <w:iCs w:val="0"/>
          <w:noProof/>
          <w:color w:val="000000" w:themeColor="text1"/>
          <w:sz w:val="22"/>
          <w:szCs w:val="22"/>
        </w:rPr>
        <w:t>5</w:t>
      </w:r>
      <w:r w:rsidR="00C95308">
        <w:rPr>
          <w:rFonts w:ascii="Arial" w:eastAsia="Arial" w:hAnsi="Arial" w:cs="Arial"/>
          <w:i w:val="0"/>
          <w:iCs w:val="0"/>
          <w:color w:val="000000" w:themeColor="text1"/>
          <w:sz w:val="22"/>
          <w:szCs w:val="22"/>
        </w:rPr>
        <w:fldChar w:fldCharType="end"/>
      </w:r>
      <w:r w:rsidR="00C95308" w:rsidRPr="00241C29">
        <w:rPr>
          <w:rFonts w:ascii="Arial" w:eastAsia="Arial" w:hAnsi="Arial" w:cs="Arial"/>
          <w:i w:val="0"/>
          <w:iCs w:val="0"/>
          <w:color w:val="000000" w:themeColor="text1"/>
          <w:sz w:val="22"/>
          <w:szCs w:val="22"/>
        </w:rPr>
        <w:t>. Total, de Activos – Pasivos (Cifras en millones de pesos colombianos)</w:t>
      </w:r>
      <w:bookmarkEnd w:id="65"/>
    </w:p>
    <w:p w14:paraId="4ADF2FA7" w14:textId="77777777" w:rsidR="00C95308" w:rsidRDefault="00C95308" w:rsidP="00C95308">
      <w:pPr>
        <w:spacing w:line="360" w:lineRule="auto"/>
        <w:jc w:val="both"/>
        <w:rPr>
          <w:rFonts w:ascii="Arial" w:hAnsi="Arial" w:cs="Arial"/>
          <w:noProof/>
          <w:sz w:val="22"/>
          <w:szCs w:val="22"/>
        </w:rPr>
      </w:pPr>
      <w:r>
        <w:rPr>
          <w:noProof/>
        </w:rPr>
        <w:drawing>
          <wp:inline distT="0" distB="0" distL="0" distR="0" wp14:anchorId="2DF993CB" wp14:editId="1A6F97E9">
            <wp:extent cx="5467350" cy="1701800"/>
            <wp:effectExtent l="0" t="0" r="0" b="0"/>
            <wp:docPr id="2" name="Gráfico 2">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059E41C" w14:textId="3B2EC2DB" w:rsidR="00C95308" w:rsidRDefault="00C95308" w:rsidP="00597F5E">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597F5E" w:rsidRPr="00597F5E">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2" w:anchor="/datos-abiertos/documents/760d95890d79460da9715b83b9d27933/about" w:history="1">
        <w:r w:rsidR="00597F5E" w:rsidRPr="006A5061">
          <w:rPr>
            <w:rStyle w:val="Hipervnculo"/>
            <w:rFonts w:ascii="Arial" w:hAnsi="Arial" w:cs="Arial"/>
            <w:sz w:val="16"/>
            <w:szCs w:val="16"/>
            <w:lang w:eastAsia="es-CO"/>
          </w:rPr>
          <w:t>https://mapas.supersalud.gov.co/arcgisportal/apps/sites/#/datos-abiertos/documents/760d95890d79460da9715b83b9d27933/about</w:t>
        </w:r>
      </w:hyperlink>
      <w:r w:rsidR="00597F5E" w:rsidRPr="00597F5E">
        <w:rPr>
          <w:rFonts w:ascii="Arial" w:hAnsi="Arial" w:cs="Arial"/>
          <w:color w:val="000000"/>
          <w:sz w:val="16"/>
          <w:szCs w:val="16"/>
          <w:lang w:eastAsia="es-CO"/>
        </w:rPr>
        <w:t>.</w:t>
      </w:r>
    </w:p>
    <w:p w14:paraId="20CAB7DB" w14:textId="77777777" w:rsidR="00597F5E" w:rsidRDefault="00597F5E" w:rsidP="00597F5E">
      <w:pPr>
        <w:jc w:val="both"/>
        <w:textAlignment w:val="baseline"/>
        <w:rPr>
          <w:rFonts w:ascii="Arial" w:hAnsi="Arial" w:cs="Arial"/>
          <w:noProof/>
          <w:sz w:val="22"/>
          <w:szCs w:val="22"/>
        </w:rPr>
      </w:pPr>
    </w:p>
    <w:p w14:paraId="3390D958" w14:textId="77777777" w:rsidR="00C95308" w:rsidRDefault="00C95308" w:rsidP="00C95308">
      <w:pPr>
        <w:spacing w:line="360" w:lineRule="auto"/>
        <w:jc w:val="both"/>
        <w:rPr>
          <w:rFonts w:ascii="Arial" w:eastAsia="Arial" w:hAnsi="Arial" w:cs="Arial"/>
          <w:sz w:val="22"/>
          <w:szCs w:val="22"/>
        </w:rPr>
      </w:pPr>
      <w:r w:rsidRPr="00BD6047">
        <w:rPr>
          <w:rFonts w:ascii="Arial" w:eastAsia="Arial" w:hAnsi="Arial" w:cs="Arial"/>
          <w:sz w:val="22"/>
          <w:szCs w:val="22"/>
        </w:rPr>
        <w:t>La gráfica</w:t>
      </w:r>
      <w:r>
        <w:rPr>
          <w:rFonts w:ascii="Arial" w:eastAsia="Arial" w:hAnsi="Arial" w:cs="Arial"/>
          <w:sz w:val="22"/>
          <w:szCs w:val="22"/>
        </w:rPr>
        <w:t xml:space="preserve"> anterior,</w:t>
      </w:r>
      <w:r w:rsidRPr="00BD6047">
        <w:rPr>
          <w:rFonts w:ascii="Arial" w:eastAsia="Arial" w:hAnsi="Arial" w:cs="Arial"/>
          <w:sz w:val="22"/>
          <w:szCs w:val="22"/>
        </w:rPr>
        <w:t xml:space="preserve"> evidencia un cambio significativo en la estructura financiera de COOSALUD EPS durante el periodo 2021–2025, particularmente en la relación entre activos y pasivos. Mientras entre 2021 y 2023 ambas variables mostraron niveles relativamente cercanos y con variaciones moderadas, a partir de 2024 se observa un deterioro acelerado, marcado por un crecimiento desproporcionado de los pasivos frente a los activos. </w:t>
      </w:r>
    </w:p>
    <w:p w14:paraId="56EED045" w14:textId="77777777" w:rsidR="00C95308" w:rsidRDefault="00C95308" w:rsidP="00C95308">
      <w:pPr>
        <w:spacing w:line="360" w:lineRule="auto"/>
        <w:jc w:val="both"/>
        <w:rPr>
          <w:rFonts w:ascii="Arial" w:eastAsia="Arial" w:hAnsi="Arial" w:cs="Arial"/>
          <w:sz w:val="22"/>
          <w:szCs w:val="22"/>
        </w:rPr>
      </w:pPr>
    </w:p>
    <w:p w14:paraId="22B8D5F6" w14:textId="77777777" w:rsidR="00C95308" w:rsidRDefault="00C95308" w:rsidP="00C95308">
      <w:pPr>
        <w:spacing w:line="360" w:lineRule="auto"/>
        <w:jc w:val="both"/>
        <w:rPr>
          <w:rFonts w:ascii="Arial" w:eastAsia="Arial" w:hAnsi="Arial" w:cs="Arial"/>
          <w:sz w:val="22"/>
          <w:szCs w:val="22"/>
        </w:rPr>
      </w:pPr>
      <w:r w:rsidRPr="00482AEF">
        <w:rPr>
          <w:rFonts w:ascii="Arial" w:eastAsia="Arial" w:hAnsi="Arial" w:cs="Arial"/>
          <w:sz w:val="22"/>
          <w:szCs w:val="22"/>
        </w:rPr>
        <w:t>En efecto, los activos de COOSALUD EPS pasaron de $1.202.468 millones en 2021 a $2.916.073 millones en 2025, lo que representa un aumento de 142,5%; sin embargo, este crecimiento no se traduce en una mayor fortaleza financiera ni en una mejora de la liquidez, dado que se explica principalmente por el incremento acelerado de las cuentas por cobrar, y no por una mayor disponibilidad de recursos líquidos. En contraste, el efectivo y equivalentes al efectivo se redujeron de manera sostenida en el mismo periodo, lo que evidencia una menor capacidad de respuesta inmediata frente a las obligaciones corrientes. A su vez, los pasivos crecieron de $902.037 millones a $6.634.187 millones, con una variación de 635,5%, superando ampliamente el crecimiento de los activos. Esta divergencia se torna crítica desde 2024, cuando los pasivos exceden de forma significativa el valor de los activos, profundizando una situación de desequilibrio financiero y comprometiendo la solvencia de la entidad. En este sentido, la gráfica no refleja un fortalecimiento patrimonial, sino un deterioro creciente de la sostenibilidad financiera de la EPS, en la medida en que el aumento de las obligaciones supera de forma sustancial la capacidad real de respaldo de sus activos</w:t>
      </w:r>
      <w:r>
        <w:rPr>
          <w:rFonts w:ascii="Arial" w:eastAsia="Arial" w:hAnsi="Arial" w:cs="Arial"/>
          <w:sz w:val="22"/>
          <w:szCs w:val="22"/>
        </w:rPr>
        <w:t>.</w:t>
      </w:r>
    </w:p>
    <w:p w14:paraId="27F5119D" w14:textId="77777777" w:rsidR="00C95308" w:rsidRDefault="00C95308" w:rsidP="00C95308">
      <w:pPr>
        <w:spacing w:line="360" w:lineRule="auto"/>
        <w:jc w:val="both"/>
        <w:rPr>
          <w:rFonts w:ascii="Arial" w:eastAsia="Arial" w:hAnsi="Arial" w:cs="Arial"/>
          <w:sz w:val="22"/>
          <w:szCs w:val="22"/>
        </w:rPr>
      </w:pPr>
    </w:p>
    <w:p w14:paraId="7FB1864E"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Sumado a lo anterior, la liquidez constituye uno de los componentes más sensibles del análisis financiero de COOSALUD EPS, en la medida en que refleja la capacidad inmediata de la entidad para atender sus obligaciones corrientes y sostener el flujo operativo requerido para garantizar la prestación de servicios de salud. En este sentido, la evolución del efectivo y sus equivalentes adquiere especial relevancia, ya que permite valorar la disponibilidad real de recursos líquidos para responder oportunamente a compromisos con la red prestadora, proveedores y demás acreedores asociados a la operación.</w:t>
      </w:r>
    </w:p>
    <w:p w14:paraId="587A491C" w14:textId="77777777" w:rsidR="00C95308" w:rsidRPr="00044ABC" w:rsidRDefault="00C95308" w:rsidP="00C95308">
      <w:pPr>
        <w:spacing w:line="360" w:lineRule="auto"/>
        <w:jc w:val="both"/>
        <w:rPr>
          <w:rFonts w:ascii="Arial" w:eastAsia="Arial" w:hAnsi="Arial" w:cs="Arial"/>
          <w:sz w:val="22"/>
          <w:szCs w:val="22"/>
        </w:rPr>
      </w:pPr>
    </w:p>
    <w:p w14:paraId="66538ADD"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lastRenderedPageBreak/>
        <w:t>Durante el periodo 2021–2025, COOSALUD EPS presentó una reducción sostenida y pronunciada en el rubro de efectivo y equivalentes al efectivo, que pasó de $601.264 millones en 2021 a $81.326 millones en 2025, lo que representa una disminución de 86,5%. Este comportamiento evidencia un deterioro importante de la liquidez inmediata de la entidad y contrasta con el crecimiento del activo total, el cual estuvo explicado principalmente por el incremento de las cuentas por cobrar y no por una mayor disponibilidad de recursos líquidos. En consecuencia, aunque el balance muestra aumento de activos, la capacidad real de respuesta financiera de corto plazo se debilitó de manera significativa.</w:t>
      </w:r>
    </w:p>
    <w:p w14:paraId="2E033C5E" w14:textId="77777777" w:rsidR="00C95308" w:rsidRPr="00044ABC" w:rsidRDefault="00C95308" w:rsidP="00C95308">
      <w:pPr>
        <w:spacing w:line="360" w:lineRule="auto"/>
        <w:jc w:val="both"/>
        <w:rPr>
          <w:rFonts w:ascii="Arial" w:eastAsia="Arial" w:hAnsi="Arial" w:cs="Arial"/>
          <w:sz w:val="22"/>
          <w:szCs w:val="22"/>
        </w:rPr>
      </w:pPr>
    </w:p>
    <w:p w14:paraId="4D2FB432"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Desde una perspectiva operativa, esta reducción del disponible constituye una señal de alerta, en tanto limita la capacidad de la EPS para atender oportunamente pagos corrientes, incrementa la presión sobre el flujo de caja y puede profundizar el riesgo de retrasos en el giro de recursos hacia la red prestadora. En el marco del aseguramiento, la pérdida de liquidez no solo expresa una dificultad financiera, sino que también puede traducirse en mayores tensiones con las IPS, restricciones en la prestación de servicios y afectación en la continuidad de la atención de la población afiliada.</w:t>
      </w:r>
    </w:p>
    <w:p w14:paraId="3A20B808" w14:textId="77777777" w:rsidR="00C95308" w:rsidRPr="00E7374C" w:rsidRDefault="00C95308" w:rsidP="00C95308">
      <w:pPr>
        <w:spacing w:line="360" w:lineRule="auto"/>
        <w:jc w:val="both"/>
        <w:rPr>
          <w:rFonts w:ascii="Arial" w:hAnsi="Arial" w:cs="Arial"/>
          <w:sz w:val="22"/>
          <w:szCs w:val="22"/>
        </w:rPr>
      </w:pPr>
    </w:p>
    <w:p w14:paraId="1440EAE4"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6" w:name="_Toc229397860"/>
      <w:r>
        <w:rPr>
          <w:rFonts w:ascii="Arial" w:hAnsi="Arial" w:cs="Arial"/>
          <w:b/>
          <w:bCs/>
          <w:color w:val="auto"/>
          <w:sz w:val="22"/>
          <w:szCs w:val="22"/>
        </w:rPr>
        <w:t>Cuentas por pagar</w:t>
      </w:r>
      <w:r>
        <w:rPr>
          <w:rStyle w:val="Refdenotaalpie"/>
          <w:rFonts w:ascii="Arial" w:hAnsi="Arial" w:cs="Arial"/>
          <w:b/>
          <w:bCs/>
          <w:color w:val="auto"/>
          <w:sz w:val="22"/>
          <w:szCs w:val="22"/>
        </w:rPr>
        <w:footnoteReference w:id="13"/>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66"/>
    </w:p>
    <w:p w14:paraId="197FFA75" w14:textId="77777777" w:rsidR="00C95308" w:rsidRDefault="00C95308" w:rsidP="00C95308">
      <w:pPr>
        <w:spacing w:line="360" w:lineRule="auto"/>
        <w:jc w:val="both"/>
        <w:rPr>
          <w:rFonts w:ascii="Arial" w:eastAsia="Arial" w:hAnsi="Arial" w:cs="Arial"/>
          <w:sz w:val="22"/>
          <w:szCs w:val="22"/>
        </w:rPr>
      </w:pPr>
    </w:p>
    <w:p w14:paraId="5DB814DF" w14:textId="77777777" w:rsidR="00C95308" w:rsidRDefault="00C95308" w:rsidP="00C95308">
      <w:pPr>
        <w:spacing w:line="360" w:lineRule="auto"/>
        <w:jc w:val="both"/>
        <w:rPr>
          <w:rFonts w:ascii="Arial" w:eastAsia="Arial" w:hAnsi="Arial" w:cs="Arial"/>
          <w:sz w:val="22"/>
          <w:szCs w:val="22"/>
        </w:rPr>
      </w:pPr>
      <w:r w:rsidRPr="008D1130">
        <w:rPr>
          <w:rFonts w:ascii="Arial" w:eastAsia="Arial" w:hAnsi="Arial" w:cs="Arial"/>
          <w:sz w:val="22"/>
          <w:szCs w:val="22"/>
        </w:rPr>
        <w:t>Con el propósito de evaluar el comportamiento de las obligaciones corrientes de COOSALUD EPS y su incidencia sobre la liquidez y la sostenibilidad financiera de la entidad</w:t>
      </w:r>
      <w:r>
        <w:rPr>
          <w:rFonts w:ascii="Arial" w:eastAsia="Arial" w:hAnsi="Arial" w:cs="Arial"/>
          <w:sz w:val="22"/>
          <w:szCs w:val="22"/>
        </w:rPr>
        <w:t>.</w:t>
      </w:r>
      <w:r w:rsidRPr="008D1130">
        <w:rPr>
          <w:rFonts w:ascii="Arial" w:eastAsia="Arial" w:hAnsi="Arial" w:cs="Arial"/>
          <w:sz w:val="22"/>
          <w:szCs w:val="22"/>
        </w:rPr>
        <w:t xml:space="preserve"> </w:t>
      </w:r>
      <w:r>
        <w:rPr>
          <w:rFonts w:ascii="Arial" w:eastAsia="Arial" w:hAnsi="Arial" w:cs="Arial"/>
          <w:sz w:val="22"/>
          <w:szCs w:val="22"/>
        </w:rPr>
        <w:t>A</w:t>
      </w:r>
      <w:r w:rsidRPr="008D1130">
        <w:rPr>
          <w:rFonts w:ascii="Arial" w:eastAsia="Arial" w:hAnsi="Arial" w:cs="Arial"/>
          <w:sz w:val="22"/>
          <w:szCs w:val="22"/>
        </w:rPr>
        <w:t xml:space="preserve"> continuación</w:t>
      </w:r>
      <w:r>
        <w:rPr>
          <w:rFonts w:ascii="Arial" w:eastAsia="Arial" w:hAnsi="Arial" w:cs="Arial"/>
          <w:sz w:val="22"/>
          <w:szCs w:val="22"/>
        </w:rPr>
        <w:t xml:space="preserve">, </w:t>
      </w:r>
      <w:r w:rsidRPr="008D1130">
        <w:rPr>
          <w:rFonts w:ascii="Arial" w:eastAsia="Arial" w:hAnsi="Arial" w:cs="Arial"/>
          <w:sz w:val="22"/>
          <w:szCs w:val="22"/>
        </w:rPr>
        <w:t xml:space="preserve">se presenta la evolución de las cuentas por pagar durante el periodo 2021–2025. </w:t>
      </w:r>
    </w:p>
    <w:p w14:paraId="7A059BF4" w14:textId="77777777" w:rsidR="00C95308" w:rsidRDefault="00C95308" w:rsidP="00C95308">
      <w:pPr>
        <w:spacing w:line="360" w:lineRule="auto"/>
        <w:jc w:val="both"/>
        <w:rPr>
          <w:rFonts w:ascii="Arial" w:eastAsia="Arial" w:hAnsi="Arial" w:cs="Arial"/>
          <w:sz w:val="22"/>
          <w:szCs w:val="22"/>
        </w:rPr>
      </w:pPr>
    </w:p>
    <w:p w14:paraId="5A1B84CF" w14:textId="55E438FB" w:rsidR="00C95308" w:rsidRDefault="00C95308" w:rsidP="006D51DB">
      <w:pPr>
        <w:spacing w:line="360" w:lineRule="auto"/>
        <w:jc w:val="both"/>
        <w:rPr>
          <w:rFonts w:eastAsia="Arial"/>
        </w:rPr>
      </w:pPr>
      <w:r w:rsidRPr="008D1130">
        <w:rPr>
          <w:rFonts w:ascii="Arial" w:eastAsia="Arial" w:hAnsi="Arial" w:cs="Arial"/>
          <w:sz w:val="22"/>
          <w:szCs w:val="22"/>
        </w:rPr>
        <w:t xml:space="preserve">Este análisis permite identificar la magnitud de los compromisos acumulados asociados a la operación de la EPS, así como los cambios más relevantes en su tendencia a lo largo del periodo observado. En términos generales, la información evidencia una reducción de este rubro entre 2021 y 2023, seguida de un incremento abrupto y sostenido en 2024 y </w:t>
      </w:r>
      <w:r w:rsidRPr="008D1130">
        <w:rPr>
          <w:rFonts w:ascii="Arial" w:eastAsia="Arial" w:hAnsi="Arial" w:cs="Arial"/>
          <w:sz w:val="22"/>
          <w:szCs w:val="22"/>
        </w:rPr>
        <w:lastRenderedPageBreak/>
        <w:t>2025, lo cual constituye una señal de presión creciente sobre la capacidad de pago de la entidad.</w:t>
      </w:r>
    </w:p>
    <w:p w14:paraId="6CC2F01C" w14:textId="77777777" w:rsidR="00C95308" w:rsidRPr="00587F52" w:rsidRDefault="00C95308" w:rsidP="00C95308">
      <w:pPr>
        <w:rPr>
          <w:rFonts w:eastAsia="Arial"/>
        </w:rPr>
      </w:pPr>
    </w:p>
    <w:p w14:paraId="0D824621" w14:textId="674B0022" w:rsidR="00C95308" w:rsidRDefault="00E2542F" w:rsidP="00113FF1">
      <w:pPr>
        <w:pStyle w:val="Descripcin"/>
        <w:spacing w:after="0" w:line="360" w:lineRule="auto"/>
        <w:jc w:val="both"/>
        <w:rPr>
          <w:rFonts w:ascii="Arial" w:eastAsia="Arial" w:hAnsi="Arial" w:cs="Arial"/>
          <w:i w:val="0"/>
          <w:iCs w:val="0"/>
          <w:color w:val="000000" w:themeColor="text1"/>
          <w:sz w:val="22"/>
          <w:szCs w:val="22"/>
        </w:rPr>
      </w:pPr>
      <w:bookmarkStart w:id="67" w:name="_Toc229395924"/>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6</w:t>
      </w:r>
      <w:r w:rsidR="00C95308">
        <w:rPr>
          <w:rFonts w:ascii="Arial" w:eastAsia="Arial" w:hAnsi="Arial" w:cs="Arial"/>
          <w:i w:val="0"/>
          <w:iCs w:val="0"/>
          <w:color w:val="000000" w:themeColor="text1"/>
          <w:sz w:val="22"/>
          <w:szCs w:val="22"/>
        </w:rPr>
        <w:fldChar w:fldCharType="end"/>
      </w:r>
      <w:r w:rsidR="00C95308" w:rsidRPr="00241C29">
        <w:rPr>
          <w:rFonts w:ascii="Arial" w:eastAsia="Arial" w:hAnsi="Arial" w:cs="Arial"/>
          <w:i w:val="0"/>
          <w:iCs w:val="0"/>
          <w:color w:val="000000" w:themeColor="text1"/>
          <w:sz w:val="22"/>
          <w:szCs w:val="22"/>
        </w:rPr>
        <w:t>. Cuentas por pagar (cifras en millones pesos colombianos)</w:t>
      </w:r>
      <w:bookmarkEnd w:id="67"/>
    </w:p>
    <w:p w14:paraId="7C3327FC" w14:textId="77777777" w:rsidR="000A5B55" w:rsidRPr="000A5B55" w:rsidRDefault="000A5B55" w:rsidP="000A5B55">
      <w:pPr>
        <w:rPr>
          <w:rFonts w:eastAsia="Arial"/>
        </w:rPr>
      </w:pPr>
    </w:p>
    <w:p w14:paraId="59C91F74" w14:textId="77777777" w:rsidR="00C95308" w:rsidRDefault="00C95308" w:rsidP="00C95308">
      <w:pPr>
        <w:spacing w:line="360" w:lineRule="auto"/>
        <w:jc w:val="both"/>
        <w:rPr>
          <w:rFonts w:ascii="Arial" w:hAnsi="Arial" w:cs="Arial"/>
          <w:noProof/>
          <w:sz w:val="22"/>
          <w:szCs w:val="22"/>
        </w:rPr>
      </w:pPr>
      <w:r w:rsidRPr="00941807">
        <w:rPr>
          <w:rFonts w:ascii="Arial" w:hAnsi="Arial" w:cs="Arial"/>
          <w:noProof/>
          <w:color w:val="000000" w:themeColor="text1"/>
        </w:rPr>
        <w:drawing>
          <wp:inline distT="0" distB="0" distL="0" distR="0" wp14:anchorId="69A9954C" wp14:editId="29D170CF">
            <wp:extent cx="5743575" cy="2657475"/>
            <wp:effectExtent l="0" t="0" r="0" b="0"/>
            <wp:docPr id="4" name="Gráfico 4">
              <a:extLst xmlns:a="http://schemas.openxmlformats.org/drawingml/2006/main">
                <a:ext uri="{FF2B5EF4-FFF2-40B4-BE49-F238E27FC236}">
                  <a16:creationId xmlns:a16="http://schemas.microsoft.com/office/drawing/2014/main" id="{4865E749-1B41-6B02-2938-FEE311A81D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3C87937" w14:textId="7BA94623" w:rsidR="00C95308" w:rsidRPr="009031ED" w:rsidRDefault="00C95308" w:rsidP="000A5B55">
      <w:pPr>
        <w:spacing w:line="360" w:lineRule="auto"/>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924E1C" w:rsidRPr="00924E1C">
        <w:rPr>
          <w:rFonts w:ascii="Arial" w:hAnsi="Arial" w:cs="Arial"/>
          <w:color w:val="000000"/>
          <w:sz w:val="16"/>
          <w:szCs w:val="16"/>
          <w:lang w:eastAsia="es-CO"/>
        </w:rPr>
        <w:t>Catálogo de información financiera EPS del régimen contributivo y subsidiado consolidado a diciembre de 2025, disponible en el portal de Datos Abiertos de la Superintendencia Nacional de Salud: https://mapas.supersalud.gov.co/arcgisportal/apps/sites/#/datos-abiertos/documents/760d95890d79460da9715b83b9d27933/about.</w:t>
      </w:r>
    </w:p>
    <w:p w14:paraId="0CDEDED1" w14:textId="77777777" w:rsidR="00C95308" w:rsidRDefault="00C95308" w:rsidP="00C95308">
      <w:pPr>
        <w:spacing w:line="360" w:lineRule="auto"/>
        <w:jc w:val="both"/>
        <w:rPr>
          <w:rFonts w:ascii="Arial" w:hAnsi="Arial" w:cs="Arial"/>
          <w:noProof/>
          <w:sz w:val="22"/>
          <w:szCs w:val="22"/>
        </w:rPr>
      </w:pPr>
    </w:p>
    <w:p w14:paraId="5D16B55E" w14:textId="77777777" w:rsidR="00C95308" w:rsidRPr="00AD0F2F" w:rsidRDefault="00C95308" w:rsidP="00C95308">
      <w:pPr>
        <w:spacing w:line="360" w:lineRule="auto"/>
        <w:jc w:val="both"/>
        <w:rPr>
          <w:rFonts w:ascii="Arial" w:hAnsi="Arial" w:cs="Arial"/>
          <w:sz w:val="22"/>
          <w:szCs w:val="22"/>
        </w:rPr>
      </w:pPr>
      <w:r w:rsidRPr="00AD0F2F">
        <w:rPr>
          <w:rFonts w:ascii="Arial" w:hAnsi="Arial" w:cs="Arial"/>
          <w:sz w:val="22"/>
          <w:szCs w:val="22"/>
        </w:rPr>
        <w:t>Como se observa en la gráfica, las cuentas por pagar de COOSALUD EPS presentaron un comportamiento cambiante a lo largo del periodo analizado. En 2021 este rubro ascendía a $356.405 millones, valor que se redujo a $162.766 millones en 2022 y posteriormente a $66.844 millones en 2023, lo que representa una disminución acumulada de 81,2% frente al inicio del periodo. Sin embargo, a partir de 2024 se registra un cambio abrupto en la tendencia, con un incremento hasta $986.537 millones, equivalente a un aumento de 1.375,9% frente a 2023. Esta dinámica se profundiza en 2025, cuando las cuentas por pagar alcanzan $2.543.908 millones, con un crecimiento adicional de 157,8% respecto a 2024. En términos acumulados, entre 2021 y 2025 el rubro aumentó 613,8%, lo que evidencia un deterioro significativo en el comportamiento de las obligaciones pendientes de pago.</w:t>
      </w:r>
    </w:p>
    <w:p w14:paraId="4B38AEE4" w14:textId="77777777" w:rsidR="00C95308" w:rsidRPr="00AD0F2F" w:rsidRDefault="00C95308" w:rsidP="00C95308">
      <w:pPr>
        <w:spacing w:line="360" w:lineRule="auto"/>
        <w:jc w:val="both"/>
        <w:rPr>
          <w:rFonts w:ascii="Arial" w:hAnsi="Arial" w:cs="Arial"/>
          <w:sz w:val="22"/>
          <w:szCs w:val="22"/>
        </w:rPr>
      </w:pPr>
    </w:p>
    <w:p w14:paraId="589A2F34" w14:textId="77777777" w:rsidR="00C95308" w:rsidRPr="00241C29" w:rsidRDefault="00C95308" w:rsidP="00C95308">
      <w:pPr>
        <w:spacing w:line="360" w:lineRule="auto"/>
        <w:jc w:val="both"/>
        <w:rPr>
          <w:rFonts w:ascii="Arial" w:hAnsi="Arial" w:cs="Arial"/>
          <w:sz w:val="22"/>
          <w:szCs w:val="22"/>
        </w:rPr>
      </w:pPr>
      <w:r w:rsidRPr="00AD0F2F">
        <w:rPr>
          <w:rFonts w:ascii="Arial" w:hAnsi="Arial" w:cs="Arial"/>
          <w:sz w:val="22"/>
          <w:szCs w:val="22"/>
        </w:rPr>
        <w:t xml:space="preserve">Desde una perspectiva financiera, este comportamiento sugiere que la entidad pasó de una fase de aparente contención de obligaciones entre 2021 y 2023 a un escenario de </w:t>
      </w:r>
      <w:r w:rsidRPr="00AD0F2F">
        <w:rPr>
          <w:rFonts w:ascii="Arial" w:hAnsi="Arial" w:cs="Arial"/>
          <w:sz w:val="22"/>
          <w:szCs w:val="22"/>
        </w:rPr>
        <w:lastRenderedPageBreak/>
        <w:t>acumulación acelerada de pasivos operativos en los dos últimos años del periodo. El incremento observado en 2024 y 2025 podría estar asociado a mayores presiones de cartera con prestadores y proveedores, rezagos en el pago de obligaciones corrientes o dificultades de liquidez para atender oportunamente los compromisos derivados de la operación. En este sentido, la evolución de las cuentas por pagar constituye un indicador relevante de riesgo financiero, en la medida en que su crecimiento sostenido puede afectar la oportunidad en los pagos, generar tensiones en la red de prestación de servicios y comprometer la continuidad operativa de la EPS.</w:t>
      </w:r>
    </w:p>
    <w:p w14:paraId="2E11B795" w14:textId="77777777" w:rsidR="00C95308" w:rsidRPr="00241C29" w:rsidRDefault="00C95308" w:rsidP="00C95308">
      <w:pPr>
        <w:spacing w:line="360" w:lineRule="auto"/>
        <w:jc w:val="both"/>
        <w:rPr>
          <w:rFonts w:ascii="Arial" w:hAnsi="Arial" w:cs="Arial"/>
          <w:sz w:val="22"/>
          <w:szCs w:val="22"/>
        </w:rPr>
      </w:pPr>
    </w:p>
    <w:p w14:paraId="78BC92D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 xml:space="preserve">En este contexto, el crecimiento acelerado de las cuentas por pagar constituye una señal de alerta sobre la capacidad de COOSALUD EPS para atender oportunamente sus obligaciones corrientes derivadas de la prestación de servicios de salud. Más allá de su expresión contable, este comportamiento refleja una presión creciente sobre el flujo de recursos de la entidad y sobre su capacidad para cumplir de manera oportuna con la red prestadora, con los proveedores y con otros acreedores asociados a la operación. </w:t>
      </w:r>
    </w:p>
    <w:p w14:paraId="755B09EA" w14:textId="77777777" w:rsidR="00C95308" w:rsidRDefault="00C95308" w:rsidP="00C95308">
      <w:pPr>
        <w:spacing w:line="360" w:lineRule="auto"/>
        <w:jc w:val="both"/>
        <w:rPr>
          <w:rFonts w:ascii="Arial" w:hAnsi="Arial" w:cs="Arial"/>
          <w:sz w:val="22"/>
          <w:szCs w:val="22"/>
        </w:rPr>
      </w:pPr>
    </w:p>
    <w:p w14:paraId="409849E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La acumulación de obligaciones pendientes de pago puede traducirse en tensiones con las IPS, debilitamiento de la red contratada, restricciones en la oferta efectiva de servicios y aumento del riesgo de barreras de acceso para la población afiliada. En consecuencia, el deterioro de este rubro no solo evidencia dificultades en la gestión financiera de corto plazo, sino que también configura un riesgo operativo relevante para la continuidad, oportunidad y calidad de la atención en salud de los afiliados en Bogotá D. C.</w:t>
      </w:r>
    </w:p>
    <w:p w14:paraId="2D58BC93" w14:textId="77777777" w:rsidR="00C95308" w:rsidRPr="00241C29" w:rsidRDefault="00C95308" w:rsidP="00C95308">
      <w:pPr>
        <w:spacing w:line="360" w:lineRule="auto"/>
        <w:jc w:val="both"/>
        <w:rPr>
          <w:rFonts w:ascii="Arial" w:eastAsia="Arial" w:hAnsi="Arial" w:cs="Arial"/>
          <w:color w:val="000000" w:themeColor="text1"/>
          <w:sz w:val="22"/>
          <w:szCs w:val="22"/>
        </w:rPr>
      </w:pPr>
    </w:p>
    <w:p w14:paraId="40472513"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8" w:name="_Toc229397861"/>
      <w:r w:rsidRPr="00D97794">
        <w:rPr>
          <w:rFonts w:ascii="Arial" w:hAnsi="Arial" w:cs="Arial"/>
          <w:b/>
          <w:bCs/>
          <w:color w:val="auto"/>
          <w:sz w:val="22"/>
          <w:szCs w:val="22"/>
        </w:rPr>
        <w:t>Reservas Técnicas</w:t>
      </w:r>
      <w:r>
        <w:rPr>
          <w:rStyle w:val="Refdenotaalpie"/>
          <w:rFonts w:ascii="Arial" w:hAnsi="Arial" w:cs="Arial"/>
          <w:b/>
          <w:bCs/>
          <w:color w:val="auto"/>
          <w:sz w:val="22"/>
          <w:szCs w:val="22"/>
        </w:rPr>
        <w:footnoteReference w:id="14"/>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68"/>
    </w:p>
    <w:p w14:paraId="0466234C" w14:textId="77777777" w:rsidR="00C95308" w:rsidRDefault="00C95308" w:rsidP="00C95308">
      <w:pPr>
        <w:spacing w:line="360" w:lineRule="auto"/>
        <w:jc w:val="both"/>
        <w:rPr>
          <w:rFonts w:ascii="Arial" w:eastAsia="Arial" w:hAnsi="Arial" w:cs="Arial"/>
          <w:sz w:val="22"/>
          <w:szCs w:val="22"/>
        </w:rPr>
      </w:pPr>
    </w:p>
    <w:p w14:paraId="5D64C278"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lastRenderedPageBreak/>
        <w:t xml:space="preserve">Según los estados financieros publicados y firmados por el Representante Legal, Contador y Revisor Fiscal, en las notas se enuncia textualmente lo siguiente: </w:t>
      </w:r>
    </w:p>
    <w:p w14:paraId="7D8567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1E87D19" w14:textId="77777777" w:rsidR="00C95308"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entidades a que hace referencia el artículo 2.5.2.2.1.2 del Decreto 780 de 2016, deberán mantener inversiones de al menos el 100% del saldo de sus reservas técnicas del mes calendario inmediatamente anterior. Requisito general, las inversiones deben ser de la más alta liquidez y seguridad.</w:t>
      </w:r>
    </w:p>
    <w:p w14:paraId="4F13E2C0" w14:textId="77777777" w:rsidR="00C95308" w:rsidRPr="00241C29" w:rsidRDefault="00C95308" w:rsidP="00C95308">
      <w:pPr>
        <w:spacing w:line="360" w:lineRule="auto"/>
        <w:jc w:val="both"/>
        <w:rPr>
          <w:rFonts w:ascii="Arial" w:hAnsi="Arial" w:cs="Arial"/>
          <w:sz w:val="22"/>
          <w:szCs w:val="22"/>
        </w:rPr>
      </w:pPr>
    </w:p>
    <w:p w14:paraId="48EEC235" w14:textId="77777777" w:rsidR="00C95308" w:rsidRPr="00A35CFB"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inversiones de las reservas técnicas se deben mantener libres de embargos, gravámenes, medidas preventivas, o de cualquier naturaleza que impida su libre cesión o transferencia. Cualquier afectación de las mencionadas impedirá que sea computada como inversión de las reservas técnicas. De acuerdo con la normatividad vigente (Decreto 780 y Decreto 2117).</w:t>
      </w:r>
    </w:p>
    <w:p w14:paraId="0A9D4FA9" w14:textId="77777777" w:rsidR="00C95308" w:rsidRDefault="00C95308" w:rsidP="00C95308">
      <w:pPr>
        <w:spacing w:line="360" w:lineRule="auto"/>
        <w:jc w:val="both"/>
        <w:rPr>
          <w:rFonts w:ascii="Arial" w:eastAsia="Arial" w:hAnsi="Arial" w:cs="Arial"/>
          <w:i/>
          <w:iCs/>
          <w:sz w:val="22"/>
          <w:szCs w:val="22"/>
        </w:rPr>
      </w:pPr>
    </w:p>
    <w:p w14:paraId="16FF2979" w14:textId="05FF9F28"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Ahora bien, c</w:t>
      </w:r>
      <w:r w:rsidRPr="00C16FA7">
        <w:rPr>
          <w:rFonts w:ascii="Arial" w:eastAsia="Arial" w:hAnsi="Arial" w:cs="Arial"/>
          <w:sz w:val="22"/>
          <w:szCs w:val="22"/>
        </w:rPr>
        <w:t>on el propósito de analizar la evolución de las reservas técnicas de COOSALUD EPS y su incidencia sobre la suficiencia financiera de la entidad para respaldar las obligaciones derivadas de la atención en salud</w:t>
      </w:r>
      <w:r>
        <w:rPr>
          <w:rFonts w:ascii="Arial" w:eastAsia="Arial" w:hAnsi="Arial" w:cs="Arial"/>
          <w:sz w:val="22"/>
          <w:szCs w:val="22"/>
        </w:rPr>
        <w:t>. A</w:t>
      </w:r>
      <w:r w:rsidRPr="00C16FA7">
        <w:rPr>
          <w:rFonts w:ascii="Arial" w:eastAsia="Arial" w:hAnsi="Arial" w:cs="Arial"/>
          <w:sz w:val="22"/>
          <w:szCs w:val="22"/>
        </w:rPr>
        <w:t xml:space="preserve"> continuación, se presenta el comportamiento de este indicador durante el periodo 2021–2025. </w:t>
      </w:r>
      <w:r>
        <w:rPr>
          <w:rFonts w:ascii="Arial" w:eastAsia="Arial" w:hAnsi="Arial" w:cs="Arial"/>
          <w:sz w:val="22"/>
          <w:szCs w:val="22"/>
        </w:rPr>
        <w:t xml:space="preserve"> </w:t>
      </w:r>
      <w:r w:rsidR="009A3D3F">
        <w:rPr>
          <w:rFonts w:ascii="Arial" w:eastAsia="Arial" w:hAnsi="Arial" w:cs="Arial"/>
          <w:sz w:val="22"/>
          <w:szCs w:val="22"/>
        </w:rPr>
        <w:t xml:space="preserve"> </w:t>
      </w:r>
      <w:r w:rsidRPr="00C16FA7">
        <w:rPr>
          <w:rFonts w:ascii="Arial" w:eastAsia="Arial" w:hAnsi="Arial" w:cs="Arial"/>
          <w:sz w:val="22"/>
          <w:szCs w:val="22"/>
        </w:rPr>
        <w:t>El seguimiento a las reservas técnicas es particularmente relevante, en la medida en que refleja la capacidad de la EPS para reconocer y cubrir obligaciones ya liquidadas, pendientes de pago, así como obligaciones conocidas asociadas a la prestación de servicios de salud. En términos generales, la información evidencia una relativa estabilidad entre 2021 y 2023, seguida de un crecimiento abrupto en 2024 y una profundización aún mayor en 2025, lo que constituye una señal de presión creciente sobre la sostenibilidad financiera de la entidad.</w:t>
      </w:r>
    </w:p>
    <w:p w14:paraId="17D9BE6B" w14:textId="77777777" w:rsidR="00E5227C" w:rsidRDefault="00E5227C" w:rsidP="00C95308">
      <w:pPr>
        <w:spacing w:line="360" w:lineRule="auto"/>
        <w:jc w:val="both"/>
        <w:rPr>
          <w:rFonts w:ascii="Arial" w:eastAsia="Arial" w:hAnsi="Arial" w:cs="Arial"/>
          <w:sz w:val="22"/>
          <w:szCs w:val="22"/>
        </w:rPr>
      </w:pPr>
    </w:p>
    <w:p w14:paraId="4ECA43EA" w14:textId="77777777" w:rsidR="000572F1" w:rsidRDefault="000572F1" w:rsidP="00C95308">
      <w:pPr>
        <w:spacing w:line="360" w:lineRule="auto"/>
        <w:jc w:val="both"/>
        <w:rPr>
          <w:rFonts w:ascii="Arial" w:eastAsia="Arial" w:hAnsi="Arial" w:cs="Arial"/>
          <w:sz w:val="22"/>
          <w:szCs w:val="22"/>
        </w:rPr>
      </w:pPr>
    </w:p>
    <w:p w14:paraId="0F27AFCC" w14:textId="77777777" w:rsidR="000572F1" w:rsidRDefault="000572F1" w:rsidP="00C95308">
      <w:pPr>
        <w:spacing w:line="360" w:lineRule="auto"/>
        <w:jc w:val="both"/>
        <w:rPr>
          <w:rFonts w:ascii="Arial" w:eastAsia="Arial" w:hAnsi="Arial" w:cs="Arial"/>
          <w:sz w:val="22"/>
          <w:szCs w:val="22"/>
        </w:rPr>
      </w:pPr>
    </w:p>
    <w:p w14:paraId="330FB8B5" w14:textId="77777777" w:rsidR="000572F1" w:rsidRDefault="000572F1" w:rsidP="00C95308">
      <w:pPr>
        <w:spacing w:line="360" w:lineRule="auto"/>
        <w:jc w:val="both"/>
        <w:rPr>
          <w:rFonts w:ascii="Arial" w:eastAsia="Arial" w:hAnsi="Arial" w:cs="Arial"/>
          <w:sz w:val="22"/>
          <w:szCs w:val="22"/>
        </w:rPr>
      </w:pPr>
    </w:p>
    <w:p w14:paraId="55E6C093" w14:textId="071CE3A8" w:rsidR="00C95308" w:rsidRPr="00241C29" w:rsidRDefault="00E2542F" w:rsidP="005E3407">
      <w:pPr>
        <w:pStyle w:val="Descripcin"/>
        <w:spacing w:after="0" w:line="360" w:lineRule="auto"/>
        <w:jc w:val="both"/>
        <w:rPr>
          <w:rFonts w:ascii="Arial" w:eastAsia="Arial" w:hAnsi="Arial" w:cs="Arial"/>
          <w:i w:val="0"/>
          <w:iCs w:val="0"/>
          <w:color w:val="000000" w:themeColor="text1"/>
          <w:sz w:val="22"/>
          <w:szCs w:val="22"/>
        </w:rPr>
      </w:pPr>
      <w:bookmarkStart w:id="69" w:name="_Toc229395925"/>
      <w:r>
        <w:rPr>
          <w:rFonts w:ascii="Arial" w:hAnsi="Arial" w:cs="Arial"/>
          <w:i w:val="0"/>
          <w:iCs w:val="0"/>
          <w:color w:val="auto"/>
          <w:sz w:val="22"/>
          <w:szCs w:val="22"/>
        </w:rPr>
        <w:lastRenderedPageBreak/>
        <w:t>Gráfica</w:t>
      </w:r>
      <w:r w:rsidR="00C95308" w:rsidRPr="00C16FA7">
        <w:rPr>
          <w:rFonts w:ascii="Arial" w:hAnsi="Arial" w:cs="Arial"/>
          <w:i w:val="0"/>
          <w:iCs w:val="0"/>
          <w:color w:val="auto"/>
          <w:sz w:val="22"/>
          <w:szCs w:val="22"/>
        </w:rPr>
        <w:t xml:space="preserve"> </w:t>
      </w:r>
      <w:r w:rsidR="00C95308" w:rsidRPr="00C16FA7">
        <w:rPr>
          <w:rFonts w:ascii="Arial" w:hAnsi="Arial" w:cs="Arial"/>
          <w:i w:val="0"/>
          <w:iCs w:val="0"/>
          <w:color w:val="auto"/>
          <w:sz w:val="22"/>
          <w:szCs w:val="22"/>
        </w:rPr>
        <w:fldChar w:fldCharType="begin"/>
      </w:r>
      <w:r w:rsidR="00C95308" w:rsidRPr="00C16FA7">
        <w:rPr>
          <w:rFonts w:ascii="Arial" w:hAnsi="Arial" w:cs="Arial"/>
          <w:i w:val="0"/>
          <w:iCs w:val="0"/>
          <w:color w:val="auto"/>
          <w:sz w:val="22"/>
          <w:szCs w:val="22"/>
        </w:rPr>
        <w:instrText xml:space="preserve"> SEQ Ilustración \* ARABIC </w:instrText>
      </w:r>
      <w:r w:rsidR="00C95308" w:rsidRPr="00C16FA7">
        <w:rPr>
          <w:rFonts w:ascii="Arial" w:hAnsi="Arial" w:cs="Arial"/>
          <w:i w:val="0"/>
          <w:iCs w:val="0"/>
          <w:color w:val="auto"/>
          <w:sz w:val="22"/>
          <w:szCs w:val="22"/>
        </w:rPr>
        <w:fldChar w:fldCharType="separate"/>
      </w:r>
      <w:r w:rsidR="00C95308">
        <w:rPr>
          <w:rFonts w:ascii="Arial" w:hAnsi="Arial" w:cs="Arial"/>
          <w:i w:val="0"/>
          <w:iCs w:val="0"/>
          <w:noProof/>
          <w:color w:val="auto"/>
          <w:sz w:val="22"/>
          <w:szCs w:val="22"/>
        </w:rPr>
        <w:t>7</w:t>
      </w:r>
      <w:r w:rsidR="00C95308" w:rsidRPr="00C16FA7">
        <w:rPr>
          <w:rFonts w:ascii="Arial" w:hAnsi="Arial" w:cs="Arial"/>
          <w:i w:val="0"/>
          <w:iCs w:val="0"/>
          <w:color w:val="auto"/>
          <w:sz w:val="22"/>
          <w:szCs w:val="22"/>
        </w:rPr>
        <w:fldChar w:fldCharType="end"/>
      </w:r>
      <w:r w:rsidR="00C95308" w:rsidRPr="00C16FA7">
        <w:rPr>
          <w:rFonts w:ascii="Arial" w:hAnsi="Arial" w:cs="Arial"/>
          <w:i w:val="0"/>
          <w:iCs w:val="0"/>
          <w:color w:val="auto"/>
          <w:sz w:val="22"/>
          <w:szCs w:val="22"/>
        </w:rPr>
        <w:t>:</w:t>
      </w:r>
      <w:r w:rsidR="00C95308">
        <w:rPr>
          <w:rFonts w:ascii="Arial" w:hAnsi="Arial" w:cs="Arial"/>
          <w:i w:val="0"/>
          <w:iCs w:val="0"/>
          <w:color w:val="auto"/>
          <w:sz w:val="22"/>
          <w:szCs w:val="22"/>
        </w:rPr>
        <w:t xml:space="preserve"> </w:t>
      </w:r>
      <w:r w:rsidR="00C95308" w:rsidRPr="00C16FA7">
        <w:rPr>
          <w:rFonts w:ascii="Arial" w:hAnsi="Arial" w:cs="Arial"/>
          <w:i w:val="0"/>
          <w:iCs w:val="0"/>
          <w:color w:val="auto"/>
          <w:sz w:val="22"/>
          <w:szCs w:val="22"/>
        </w:rPr>
        <w:t xml:space="preserve">Reservas técnicas Coosalud EPS </w:t>
      </w:r>
      <w:r w:rsidR="00C95308">
        <w:rPr>
          <w:rFonts w:ascii="Arial" w:hAnsi="Arial" w:cs="Arial"/>
          <w:i w:val="0"/>
          <w:iCs w:val="0"/>
          <w:color w:val="auto"/>
          <w:sz w:val="22"/>
          <w:szCs w:val="22"/>
        </w:rPr>
        <w:t xml:space="preserve">de </w:t>
      </w:r>
      <w:r w:rsidR="00C95308" w:rsidRPr="00C16FA7">
        <w:rPr>
          <w:rFonts w:ascii="Arial" w:hAnsi="Arial" w:cs="Arial"/>
          <w:i w:val="0"/>
          <w:iCs w:val="0"/>
          <w:color w:val="auto"/>
          <w:sz w:val="22"/>
          <w:szCs w:val="22"/>
        </w:rPr>
        <w:t>2021</w:t>
      </w:r>
      <w:r w:rsidR="00C95308">
        <w:rPr>
          <w:rFonts w:ascii="Arial" w:hAnsi="Arial" w:cs="Arial"/>
          <w:i w:val="0"/>
          <w:iCs w:val="0"/>
          <w:color w:val="auto"/>
          <w:sz w:val="22"/>
          <w:szCs w:val="22"/>
        </w:rPr>
        <w:t xml:space="preserve">ª </w:t>
      </w:r>
      <w:r w:rsidR="00C95308" w:rsidRPr="00C16FA7">
        <w:rPr>
          <w:rFonts w:ascii="Arial" w:hAnsi="Arial" w:cs="Arial"/>
          <w:i w:val="0"/>
          <w:iCs w:val="0"/>
          <w:color w:val="auto"/>
          <w:sz w:val="22"/>
          <w:szCs w:val="22"/>
        </w:rPr>
        <w:t>2025</w:t>
      </w:r>
      <w:r w:rsidR="00C95308">
        <w:rPr>
          <w:rStyle w:val="Refdenotaalpie"/>
          <w:rFonts w:ascii="Arial" w:hAnsi="Arial" w:cs="Arial"/>
          <w:i w:val="0"/>
          <w:iCs w:val="0"/>
          <w:color w:val="auto"/>
          <w:sz w:val="22"/>
          <w:szCs w:val="22"/>
        </w:rPr>
        <w:footnoteReference w:id="15"/>
      </w:r>
      <w:r w:rsidR="00C95308" w:rsidRPr="00241C29">
        <w:rPr>
          <w:rFonts w:ascii="Arial" w:eastAsia="Arial" w:hAnsi="Arial" w:cs="Arial"/>
          <w:i w:val="0"/>
          <w:iCs w:val="0"/>
          <w:color w:val="000000" w:themeColor="text1"/>
          <w:sz w:val="22"/>
          <w:szCs w:val="22"/>
        </w:rPr>
        <w:t>(cifras en millones pesos colombianos)</w:t>
      </w:r>
      <w:bookmarkEnd w:id="69"/>
    </w:p>
    <w:p w14:paraId="35FFCC10" w14:textId="77777777" w:rsidR="00C95308" w:rsidRDefault="00C95308" w:rsidP="00C95308">
      <w:pPr>
        <w:keepNext/>
        <w:spacing w:line="360" w:lineRule="auto"/>
        <w:jc w:val="both"/>
      </w:pPr>
      <w:r>
        <w:rPr>
          <w:noProof/>
        </w:rPr>
        <w:drawing>
          <wp:inline distT="0" distB="0" distL="0" distR="0" wp14:anchorId="62E173C3" wp14:editId="667E8127">
            <wp:extent cx="5543550" cy="2331720"/>
            <wp:effectExtent l="0" t="0" r="0" b="0"/>
            <wp:docPr id="9" name="Gráfico 9">
              <a:extLst xmlns:a="http://schemas.openxmlformats.org/drawingml/2006/main">
                <a:ext uri="{FF2B5EF4-FFF2-40B4-BE49-F238E27FC236}">
                  <a16:creationId xmlns:a16="http://schemas.microsoft.com/office/drawing/2014/main" id="{5C92290A-DB1A-65C7-EF24-0D4B1BB370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39A2894" w14:textId="50D7189A" w:rsidR="00C95308" w:rsidRDefault="00C95308" w:rsidP="005E3407">
      <w:pPr>
        <w:spacing w:line="360" w:lineRule="auto"/>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Fuente:</w:t>
      </w:r>
      <w:r w:rsidR="00071696">
        <w:rPr>
          <w:rFonts w:ascii="Arial" w:hAnsi="Arial" w:cs="Arial"/>
          <w:color w:val="000000"/>
          <w:sz w:val="16"/>
          <w:szCs w:val="16"/>
          <w:lang w:eastAsia="es-CO"/>
        </w:rPr>
        <w:t xml:space="preserve"> </w:t>
      </w:r>
      <w:r w:rsidR="00071696" w:rsidRPr="00071696">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5" w:anchor="/datos-abiertos/documents/760d95890d79460da9715b83b9d27933/about" w:history="1">
        <w:r w:rsidR="00596CB1" w:rsidRPr="006A5061">
          <w:rPr>
            <w:rStyle w:val="Hipervnculo"/>
            <w:rFonts w:ascii="Arial" w:hAnsi="Arial" w:cs="Arial"/>
            <w:sz w:val="16"/>
            <w:szCs w:val="16"/>
            <w:lang w:eastAsia="es-CO"/>
          </w:rPr>
          <w:t>https://mapas.supersalud.gov.co/arcgisportal/apps/sites/#/datos-abiertos/documents/760d95890d79460da9715b83b9d27933/about</w:t>
        </w:r>
      </w:hyperlink>
      <w:r w:rsidR="00071696" w:rsidRPr="00071696">
        <w:rPr>
          <w:rFonts w:ascii="Arial" w:hAnsi="Arial" w:cs="Arial"/>
          <w:color w:val="000000"/>
          <w:sz w:val="16"/>
          <w:szCs w:val="16"/>
          <w:lang w:eastAsia="es-CO"/>
        </w:rPr>
        <w:t>.</w:t>
      </w:r>
    </w:p>
    <w:p w14:paraId="35CCFE78" w14:textId="77777777" w:rsidR="00596CB1" w:rsidRDefault="00596CB1" w:rsidP="00071696">
      <w:pPr>
        <w:jc w:val="both"/>
        <w:textAlignment w:val="baseline"/>
      </w:pPr>
    </w:p>
    <w:p w14:paraId="6C13801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 xml:space="preserve">Como se observa en la gráfica, las reservas técnicas de COOSALUD EPS presentaron un comportamiento variable durante el periodo analizado. En 2021 registraban un valor de $590.262 millones, el cual disminuyó a $506.619 millones en 2022, equivalente a una reducción de 14,2%. Posteriormente, en 2023 se presentó una recuperación moderada hasta $584.389 millones, con un incremento de 15,3% frente al año anterior. No obstante, a partir de 2024 se evidencia un cambio drástico en la tendencia, al alcanzar $2.663.524 millones, lo que representa un aumento de 355,7% respecto de 2023. Esta dinámica se intensifica en 2025, cuando las reservas técnicas ascienden a $6.513.509 millones, con un crecimiento adicional de 144,5% frente a 2024. En términos acumulados, entre 2021 y 2025 </w:t>
      </w:r>
      <w:r w:rsidRPr="006900A6">
        <w:rPr>
          <w:rFonts w:ascii="Arial" w:eastAsia="Arial" w:hAnsi="Arial" w:cs="Arial"/>
          <w:sz w:val="22"/>
          <w:szCs w:val="22"/>
        </w:rPr>
        <w:lastRenderedPageBreak/>
        <w:t>el indicador aumentó 1.003,5%, es decir, se multiplicó por más de once veces durante el periodo.</w:t>
      </w:r>
    </w:p>
    <w:p w14:paraId="4325F9C0" w14:textId="77777777" w:rsidR="00C95308" w:rsidRPr="006900A6" w:rsidRDefault="00C95308" w:rsidP="00C95308">
      <w:pPr>
        <w:spacing w:line="360" w:lineRule="auto"/>
        <w:jc w:val="both"/>
        <w:rPr>
          <w:rFonts w:ascii="Arial" w:eastAsia="Arial" w:hAnsi="Arial" w:cs="Arial"/>
          <w:sz w:val="22"/>
          <w:szCs w:val="22"/>
        </w:rPr>
      </w:pPr>
    </w:p>
    <w:p w14:paraId="22EB1D4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Desde el punto de vista financiero, este comportamiento sugiere una expansión acelerada de las obligaciones técnicas que la entidad debe respaldar, particularmente en los dos últimos años del análisis. El incremento observado puede estar asociado a una mayor acumulación de obligaciones liquidadas pendientes de pago, al crecimiento de obligaciones conocidas no liquidadas y al aumento de provisiones requeridas para cubrir riesgos derivados de la operación. En ese sentido, aunque las reservas técnicas constituyen un mecanismo necesario para reconocer financieramente dichas obligaciones, su crecimiento de esta magnitud también puede reflejar un incremento sustancial de compromisos pendientes, presiones sobre el flujo de caja y mayores exigencias de suficiencia patrimonial para responder adecuadamente a la red prestadora y a los afiliados.</w:t>
      </w:r>
    </w:p>
    <w:p w14:paraId="30CF2787" w14:textId="77777777" w:rsidR="00C95308" w:rsidRPr="006900A6" w:rsidRDefault="00C95308" w:rsidP="00C95308">
      <w:pPr>
        <w:spacing w:line="360" w:lineRule="auto"/>
        <w:jc w:val="both"/>
        <w:rPr>
          <w:rFonts w:ascii="Arial" w:eastAsia="Arial" w:hAnsi="Arial" w:cs="Arial"/>
          <w:sz w:val="22"/>
          <w:szCs w:val="22"/>
        </w:rPr>
      </w:pPr>
    </w:p>
    <w:p w14:paraId="162C2DC1" w14:textId="77777777" w:rsidR="00C95308" w:rsidRDefault="00C95308" w:rsidP="00C95308">
      <w:pPr>
        <w:spacing w:line="360" w:lineRule="auto"/>
        <w:jc w:val="both"/>
        <w:rPr>
          <w:rFonts w:ascii="Arial" w:eastAsia="Arial" w:hAnsi="Arial" w:cs="Arial"/>
          <w:sz w:val="22"/>
          <w:szCs w:val="22"/>
        </w:rPr>
      </w:pPr>
      <w:r w:rsidRPr="00F96221">
        <w:rPr>
          <w:rFonts w:ascii="Arial" w:eastAsia="Arial" w:hAnsi="Arial" w:cs="Arial"/>
          <w:sz w:val="22"/>
          <w:szCs w:val="22"/>
        </w:rPr>
        <w:t>En síntesis, la evolución de las reservas técnicas de COOSALUD EPS evidencia un deterioro relevante en la capacidad de la entidad para respaldar financieramente las obligaciones asociadas a la prestación de servicios de salud, especialmente a partir de 2024. El aumento abrupto de este indicador no debe interpretarse únicamente como una variación contable, sino como la manifestación de una mayor acumulación de obligaciones reconocidas y de una presión creciente sobre la suficiencia financiera de la EPS. Esta situación compromete su liquidez y su capacidad real para garantizar el pago oportuno de los servicios, lo que puede traducirse en mayores tensiones con la red prestadora, debilitamiento de la capacidad operativa y riesgo en la continuidad de la atención. En consecuencia, el comportamiento de las reservas técnicas constituye una señal de alerta sobre la sostenibilidad financiera de COOSALUD EPS y sobre la necesidad de fortalecer el seguimiento a la gestión de sus obligaciones, a la suficiencia de sus respaldos y a su capacidad efectiva para responder a los riesgos asumidos en el marco del aseguramiento.</w:t>
      </w:r>
    </w:p>
    <w:p w14:paraId="37E3F212" w14:textId="77777777" w:rsidR="00C95308" w:rsidRDefault="00C95308" w:rsidP="00C95308"/>
    <w:p w14:paraId="3ECA75C7" w14:textId="77777777" w:rsidR="00C95308"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0" w:name="_Toc229397862"/>
      <w:r>
        <w:rPr>
          <w:rFonts w:ascii="Arial" w:hAnsi="Arial" w:cs="Arial"/>
          <w:b/>
          <w:bCs/>
          <w:color w:val="auto"/>
          <w:sz w:val="22"/>
          <w:szCs w:val="22"/>
        </w:rPr>
        <w:t>Patrimonio (2021-2025)</w:t>
      </w:r>
      <w:bookmarkEnd w:id="70"/>
    </w:p>
    <w:p w14:paraId="781539F1" w14:textId="77777777" w:rsidR="00C95308" w:rsidRDefault="00C95308" w:rsidP="00C95308"/>
    <w:p w14:paraId="615CCCE8" w14:textId="77777777" w:rsidR="00C95308" w:rsidRDefault="00C95308" w:rsidP="00C95308">
      <w:pPr>
        <w:spacing w:line="360" w:lineRule="auto"/>
        <w:jc w:val="both"/>
        <w:rPr>
          <w:rFonts w:ascii="Arial" w:eastAsia="Arial" w:hAnsi="Arial" w:cs="Arial"/>
          <w:sz w:val="22"/>
          <w:szCs w:val="22"/>
        </w:rPr>
      </w:pPr>
      <w:r w:rsidRPr="00A107CB">
        <w:rPr>
          <w:rFonts w:ascii="Arial" w:eastAsia="Arial" w:hAnsi="Arial" w:cs="Arial"/>
          <w:sz w:val="22"/>
          <w:szCs w:val="22"/>
        </w:rPr>
        <w:t xml:space="preserve">Con el propósito de evaluar la evolución del patrimonio de COOSALUD EPS durante el periodo 2021–2025. A continuación, se presenta el comportamiento de este rubro, el cual constituye un indicador clave para valorar la solidez financiera, la capacidad de respaldo de las obligaciones y la sostenibilidad de la operación de la entidad. El análisis del patrimonio </w:t>
      </w:r>
      <w:r w:rsidRPr="00A107CB">
        <w:rPr>
          <w:rFonts w:ascii="Arial" w:eastAsia="Arial" w:hAnsi="Arial" w:cs="Arial"/>
          <w:sz w:val="22"/>
          <w:szCs w:val="22"/>
        </w:rPr>
        <w:lastRenderedPageBreak/>
        <w:t>resulta especialmente relevante, en la medida en que refleja la diferencia entre los activos y los pasivos y permite establecer si la EPS mantiene una base financiera suficiente para soportar los riesgos propios del aseguramiento en salud. En términos generales, la gráfica evidencia un deterioro progresivo del patrimonio, con una ruptura crítica a partir de 2024 y una profundización severa en 2025.</w:t>
      </w:r>
    </w:p>
    <w:p w14:paraId="402DD1F3" w14:textId="77777777" w:rsidR="00C95308" w:rsidRPr="00A107CB" w:rsidRDefault="00C95308" w:rsidP="00C95308">
      <w:pPr>
        <w:spacing w:line="360" w:lineRule="auto"/>
        <w:jc w:val="both"/>
        <w:rPr>
          <w:rFonts w:ascii="Arial" w:eastAsia="Arial" w:hAnsi="Arial" w:cs="Arial"/>
          <w:sz w:val="22"/>
          <w:szCs w:val="22"/>
        </w:rPr>
      </w:pPr>
    </w:p>
    <w:p w14:paraId="38DC1FCF" w14:textId="36F3F819" w:rsidR="00C95308" w:rsidRPr="00B908CF" w:rsidRDefault="00E2542F" w:rsidP="00C95308">
      <w:pPr>
        <w:pStyle w:val="Descripcin"/>
        <w:keepNext/>
        <w:jc w:val="center"/>
        <w:rPr>
          <w:rFonts w:ascii="Arial" w:hAnsi="Arial" w:cs="Arial"/>
          <w:i w:val="0"/>
          <w:iCs w:val="0"/>
          <w:color w:val="auto"/>
          <w:sz w:val="22"/>
          <w:szCs w:val="22"/>
        </w:rPr>
      </w:pPr>
      <w:bookmarkStart w:id="71" w:name="_Toc229395926"/>
      <w:r>
        <w:rPr>
          <w:rFonts w:ascii="Arial" w:hAnsi="Arial" w:cs="Arial"/>
          <w:i w:val="0"/>
          <w:iCs w:val="0"/>
          <w:color w:val="auto"/>
          <w:sz w:val="22"/>
          <w:szCs w:val="22"/>
        </w:rPr>
        <w:t>Gráfica</w:t>
      </w:r>
      <w:r w:rsidR="00C95308" w:rsidRPr="00B908CF">
        <w:rPr>
          <w:rFonts w:ascii="Arial" w:hAnsi="Arial" w:cs="Arial"/>
          <w:i w:val="0"/>
          <w:iCs w:val="0"/>
          <w:color w:val="auto"/>
          <w:sz w:val="22"/>
          <w:szCs w:val="22"/>
        </w:rPr>
        <w:t xml:space="preserve"> </w:t>
      </w:r>
      <w:r w:rsidR="00C95308" w:rsidRPr="00B908CF">
        <w:rPr>
          <w:rFonts w:ascii="Arial" w:hAnsi="Arial" w:cs="Arial"/>
          <w:i w:val="0"/>
          <w:iCs w:val="0"/>
          <w:color w:val="auto"/>
          <w:sz w:val="22"/>
          <w:szCs w:val="22"/>
        </w:rPr>
        <w:fldChar w:fldCharType="begin"/>
      </w:r>
      <w:r w:rsidR="00C95308" w:rsidRPr="00B908CF">
        <w:rPr>
          <w:rFonts w:ascii="Arial" w:hAnsi="Arial" w:cs="Arial"/>
          <w:i w:val="0"/>
          <w:iCs w:val="0"/>
          <w:color w:val="auto"/>
          <w:sz w:val="22"/>
          <w:szCs w:val="22"/>
        </w:rPr>
        <w:instrText xml:space="preserve"> SEQ Ilustración \* ARABIC </w:instrText>
      </w:r>
      <w:r w:rsidR="00C95308" w:rsidRPr="00B908CF">
        <w:rPr>
          <w:rFonts w:ascii="Arial" w:hAnsi="Arial" w:cs="Arial"/>
          <w:i w:val="0"/>
          <w:iCs w:val="0"/>
          <w:color w:val="auto"/>
          <w:sz w:val="22"/>
          <w:szCs w:val="22"/>
        </w:rPr>
        <w:fldChar w:fldCharType="separate"/>
      </w:r>
      <w:r w:rsidR="00C95308" w:rsidRPr="00B908CF">
        <w:rPr>
          <w:rFonts w:ascii="Arial" w:hAnsi="Arial" w:cs="Arial"/>
          <w:i w:val="0"/>
          <w:iCs w:val="0"/>
          <w:noProof/>
          <w:color w:val="auto"/>
          <w:sz w:val="22"/>
          <w:szCs w:val="22"/>
        </w:rPr>
        <w:t>8</w:t>
      </w:r>
      <w:r w:rsidR="00C95308" w:rsidRPr="00B908CF">
        <w:rPr>
          <w:rFonts w:ascii="Arial" w:hAnsi="Arial" w:cs="Arial"/>
          <w:i w:val="0"/>
          <w:iCs w:val="0"/>
          <w:color w:val="auto"/>
          <w:sz w:val="22"/>
          <w:szCs w:val="22"/>
        </w:rPr>
        <w:fldChar w:fldCharType="end"/>
      </w:r>
      <w:r w:rsidR="00C95308" w:rsidRPr="00B908CF">
        <w:rPr>
          <w:rFonts w:ascii="Arial" w:hAnsi="Arial" w:cs="Arial"/>
          <w:i w:val="0"/>
          <w:iCs w:val="0"/>
          <w:color w:val="auto"/>
          <w:sz w:val="22"/>
          <w:szCs w:val="22"/>
        </w:rPr>
        <w:t>: Patrimonio Coosalud EPS de 2021 a 2025 (cifras en millones pesos colombianos)</w:t>
      </w:r>
      <w:bookmarkEnd w:id="71"/>
    </w:p>
    <w:p w14:paraId="6FBD1B71" w14:textId="77777777" w:rsidR="00C95308" w:rsidRPr="00E812AF" w:rsidRDefault="00C95308" w:rsidP="00C95308">
      <w:r>
        <w:rPr>
          <w:noProof/>
        </w:rPr>
        <w:drawing>
          <wp:inline distT="0" distB="0" distL="0" distR="0" wp14:anchorId="1DDFAD87" wp14:editId="760E6CA1">
            <wp:extent cx="5953125" cy="3009900"/>
            <wp:effectExtent l="0" t="0" r="0" b="0"/>
            <wp:docPr id="10" name="Gráfico 10">
              <a:extLst xmlns:a="http://schemas.openxmlformats.org/drawingml/2006/main">
                <a:ext uri="{FF2B5EF4-FFF2-40B4-BE49-F238E27FC236}">
                  <a16:creationId xmlns:a16="http://schemas.microsoft.com/office/drawing/2014/main" id="{70583842-72BF-B2D9-712C-5D4D6D19A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4D2B6AF" w14:textId="77777777" w:rsidR="00C95308" w:rsidRDefault="00C95308" w:rsidP="00C95308"/>
    <w:p w14:paraId="58841748" w14:textId="77777777" w:rsidR="00D05557" w:rsidRDefault="00D05557" w:rsidP="00D05557">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7" w:anchor="/datos-abiertos/documents/760d95890d79460da9715b83b9d27933/about"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2B7EE3B2" w14:textId="77777777" w:rsidR="00C95308" w:rsidRDefault="00C95308" w:rsidP="00C95308"/>
    <w:p w14:paraId="3DF1EA2C"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 xml:space="preserve">Como se observa en la gráfica, el patrimonio de COOSALUD EPS presentó valores positivos entre 2021 y 2023, aunque con señales de debilitamiento al final de este periodo. En 2021 se ubicó en $300.431 millones, aumentó a $331.000 millones en 2022 y posteriormente descendió a $223.456 millones en 2023, lo que representa una reducción de 32,5% frente al año anterior. No obstante, el cambio más crítico se registra en 2024, cuando el patrimonio pasa a un saldo negativo de -$859.168 millones, evidenciando una pérdida de 484,5% frente a 2023. Esta situación se agrava de manera sustancial en 2025, cuando el patrimonio negativo asciende a -$3.718.114 millones, profundizando el deterioro </w:t>
      </w:r>
      <w:r w:rsidRPr="00E7374C">
        <w:rPr>
          <w:rFonts w:ascii="Arial" w:hAnsi="Arial" w:cs="Arial"/>
          <w:sz w:val="22"/>
          <w:szCs w:val="22"/>
        </w:rPr>
        <w:lastRenderedPageBreak/>
        <w:t>en 332,8% respecto de 2024. En términos acumulados, entre 2021 y 2025 la variación del patrimonio fue de -$4.018.545 millones, lo que confirma el colapso de la base patrimonial de la entidad.</w:t>
      </w:r>
    </w:p>
    <w:p w14:paraId="04B170E8" w14:textId="77777777" w:rsidR="00C95308" w:rsidRPr="00E7374C" w:rsidRDefault="00C95308" w:rsidP="00C95308">
      <w:pPr>
        <w:spacing w:line="360" w:lineRule="auto"/>
        <w:jc w:val="both"/>
        <w:rPr>
          <w:rFonts w:ascii="Arial" w:hAnsi="Arial" w:cs="Arial"/>
          <w:sz w:val="22"/>
          <w:szCs w:val="22"/>
        </w:rPr>
      </w:pPr>
    </w:p>
    <w:p w14:paraId="26451C5F"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Desde una perspectiva financiera, el paso de un patrimonio positivo a un patrimonio negativo representa una señal de alta gravedad, en tanto indica que los pasivos superan ampliamente a los activos y que la entidad perdió su capacidad de respaldo patrimonial. En otras palabras, a partir de 2024 COOSALUD EPS entra en una situación de insuficiencia patrimonial, que se profundiza en 2025 y resulta consistente con el incremento acelerado del endeudamiento, el crecimiento de los pasivos y la acumulación de pérdidas observadas en otros componentes del análisis financiero. Este comportamiento refleja no solo un deterioro contable, sino una afectación estructural de la solvencia de la EPS, limitando su capacidad para responder adecuadamente a sus compromisos financieros y operacionales.</w:t>
      </w:r>
    </w:p>
    <w:p w14:paraId="445E22CE" w14:textId="77777777" w:rsidR="00C95308" w:rsidRPr="00E7374C" w:rsidRDefault="00C95308" w:rsidP="00C95308">
      <w:pPr>
        <w:spacing w:line="360" w:lineRule="auto"/>
        <w:jc w:val="both"/>
        <w:rPr>
          <w:rFonts w:ascii="Arial" w:hAnsi="Arial" w:cs="Arial"/>
          <w:sz w:val="22"/>
          <w:szCs w:val="22"/>
        </w:rPr>
      </w:pPr>
    </w:p>
    <w:p w14:paraId="6A6A1ED0" w14:textId="77777777" w:rsidR="00C95308" w:rsidRDefault="00C95308" w:rsidP="00C95308">
      <w:pPr>
        <w:spacing w:line="360" w:lineRule="auto"/>
        <w:jc w:val="both"/>
        <w:rPr>
          <w:rFonts w:ascii="Arial" w:hAnsi="Arial" w:cs="Arial"/>
          <w:sz w:val="22"/>
          <w:szCs w:val="22"/>
        </w:rPr>
      </w:pPr>
      <w:r w:rsidRPr="00A71F2D">
        <w:rPr>
          <w:rFonts w:ascii="Arial" w:hAnsi="Arial" w:cs="Arial"/>
          <w:sz w:val="22"/>
          <w:szCs w:val="22"/>
        </w:rPr>
        <w:t>En síntesis, la evolución del patrimonio de COOSALUD EPS evidencia un deterioro severo y sostenido de su estructura financiera, con pérdida total de la base patrimonial a partir de 2024 y una profundización crítica de esta situación en 2025. Este comportamiento constituye una señal de alerta mayor, en tanto refleja que la entidad dejó de contar con respaldo patrimonial suficiente para soportar sus obligaciones y los riesgos propios de la operación del aseguramiento en salud. Más allá de su expresión contable, el patrimonio negativo compromete la solvencia de la EPS, limita su capacidad de respuesta financiera y reduce su margen para sostener la operación bajo condiciones mínimas de estabilidad. En el marco del aseguramiento, esta situación puede traducirse en mayores dificultades para garantizar el flujo oportuno de recursos, mantener la suficiencia de la red prestadora y asegurar la continuidad y oportunidad en la atención de la población afiliada en Bogotá D. C. En consecuencia, el comportamiento de este indicador confirma un deterioro estructural de la viabilidad financiera de COOSALUD EPS y refuerza la necesidad de mantener un seguimiento estricto sobre su capacidad real de permanencia y cumplimiento.</w:t>
      </w:r>
    </w:p>
    <w:p w14:paraId="042CF393" w14:textId="77777777" w:rsidR="00C95308" w:rsidRDefault="00C95308" w:rsidP="00C95308">
      <w:pPr>
        <w:spacing w:line="360" w:lineRule="auto"/>
        <w:jc w:val="both"/>
        <w:rPr>
          <w:rFonts w:ascii="Arial" w:hAnsi="Arial" w:cs="Arial"/>
          <w:sz w:val="22"/>
          <w:szCs w:val="22"/>
        </w:rPr>
      </w:pPr>
    </w:p>
    <w:p w14:paraId="4B88F1FE"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2" w:name="_Toc229397863"/>
      <w:r w:rsidRPr="00D97794">
        <w:rPr>
          <w:rFonts w:ascii="Arial" w:hAnsi="Arial" w:cs="Arial"/>
          <w:b/>
          <w:bCs/>
          <w:color w:val="auto"/>
          <w:sz w:val="22"/>
          <w:szCs w:val="22"/>
        </w:rPr>
        <w:t xml:space="preserve">Endeudamiento </w:t>
      </w:r>
      <w:r w:rsidRPr="00C2596A">
        <w:rPr>
          <w:rFonts w:ascii="Arial" w:hAnsi="Arial" w:cs="Arial"/>
          <w:b/>
          <w:bCs/>
          <w:color w:val="auto"/>
          <w:sz w:val="22"/>
          <w:szCs w:val="22"/>
        </w:rPr>
        <w:t>(2021–2025)</w:t>
      </w:r>
      <w:bookmarkEnd w:id="72"/>
    </w:p>
    <w:p w14:paraId="5FB881D3" w14:textId="77777777" w:rsidR="00C95308" w:rsidRDefault="00C95308" w:rsidP="00C95308">
      <w:pPr>
        <w:spacing w:line="360" w:lineRule="auto"/>
        <w:jc w:val="both"/>
        <w:rPr>
          <w:rFonts w:ascii="Arial" w:eastAsia="Arial" w:hAnsi="Arial" w:cs="Arial"/>
          <w:sz w:val="22"/>
          <w:szCs w:val="22"/>
        </w:rPr>
      </w:pPr>
      <w:r w:rsidRPr="00241C29">
        <w:rPr>
          <w:rFonts w:ascii="Arial" w:eastAsia="Arial" w:hAnsi="Arial" w:cs="Arial"/>
          <w:sz w:val="22"/>
          <w:szCs w:val="22"/>
        </w:rPr>
        <w:t xml:space="preserve"> </w:t>
      </w:r>
    </w:p>
    <w:p w14:paraId="445972B7" w14:textId="77777777" w:rsidR="00C95308" w:rsidRDefault="00C95308" w:rsidP="00C95308">
      <w:pPr>
        <w:spacing w:line="360" w:lineRule="auto"/>
        <w:jc w:val="both"/>
        <w:rPr>
          <w:rFonts w:ascii="Arial" w:hAnsi="Arial" w:cs="Arial"/>
          <w:sz w:val="22"/>
          <w:szCs w:val="22"/>
        </w:rPr>
      </w:pPr>
      <w:r w:rsidRPr="00F2446D">
        <w:rPr>
          <w:rFonts w:ascii="Arial" w:hAnsi="Arial" w:cs="Arial"/>
          <w:sz w:val="22"/>
          <w:szCs w:val="22"/>
        </w:rPr>
        <w:t>Con el propósito de evaluar la evolución del nivel de endeudamiento de COOSALUD EPS durante el periodo 2021–2025</w:t>
      </w:r>
      <w:r>
        <w:rPr>
          <w:rFonts w:ascii="Arial" w:hAnsi="Arial" w:cs="Arial"/>
          <w:sz w:val="22"/>
          <w:szCs w:val="22"/>
        </w:rPr>
        <w:t>. A</w:t>
      </w:r>
      <w:r w:rsidRPr="00F2446D">
        <w:rPr>
          <w:rFonts w:ascii="Arial" w:hAnsi="Arial" w:cs="Arial"/>
          <w:sz w:val="22"/>
          <w:szCs w:val="22"/>
        </w:rPr>
        <w:t xml:space="preserve"> continuación</w:t>
      </w:r>
      <w:r>
        <w:rPr>
          <w:rFonts w:ascii="Arial" w:hAnsi="Arial" w:cs="Arial"/>
          <w:sz w:val="22"/>
          <w:szCs w:val="22"/>
        </w:rPr>
        <w:t>,</w:t>
      </w:r>
      <w:r w:rsidRPr="00F2446D">
        <w:rPr>
          <w:rFonts w:ascii="Arial" w:hAnsi="Arial" w:cs="Arial"/>
          <w:sz w:val="22"/>
          <w:szCs w:val="22"/>
        </w:rPr>
        <w:t xml:space="preserve"> se presenta el comportamiento de este </w:t>
      </w:r>
      <w:r w:rsidRPr="00F2446D">
        <w:rPr>
          <w:rFonts w:ascii="Arial" w:hAnsi="Arial" w:cs="Arial"/>
          <w:sz w:val="22"/>
          <w:szCs w:val="22"/>
        </w:rPr>
        <w:lastRenderedPageBreak/>
        <w:t>indicador, el cual permite establecer la proporción de los activos que se encuentra financiada con pasivos y, por tanto, valorar el grado de dependencia de la entidad frente a recursos de terceros. El análisis de este indicador es especialmente relevante en la medida en que da cuenta de la solidez financiera de la EPS, su capacidad de respaldo patrimonial y el riesgo asociado a la sostenibilidad de su operación. En términos generales, la gráfica evidencia un deterioro progresivo del endeudamiento, con una intensificación crítica a partir de 2024 y una profundización aún mayor en 2025.</w:t>
      </w:r>
    </w:p>
    <w:p w14:paraId="3692A202" w14:textId="77777777" w:rsidR="00C95308" w:rsidRPr="00241C29" w:rsidRDefault="00C95308" w:rsidP="00C95308">
      <w:pPr>
        <w:spacing w:line="360" w:lineRule="auto"/>
        <w:jc w:val="both"/>
        <w:rPr>
          <w:rFonts w:ascii="Arial" w:hAnsi="Arial" w:cs="Arial"/>
          <w:sz w:val="22"/>
          <w:szCs w:val="22"/>
        </w:rPr>
      </w:pPr>
    </w:p>
    <w:p w14:paraId="325E042A" w14:textId="6F3F9D3D" w:rsidR="00C95308" w:rsidRPr="00241C29" w:rsidRDefault="00E2542F" w:rsidP="00C95308">
      <w:pPr>
        <w:pStyle w:val="Descripcin"/>
        <w:spacing w:after="0" w:line="360" w:lineRule="auto"/>
        <w:jc w:val="center"/>
        <w:rPr>
          <w:rFonts w:ascii="Arial" w:eastAsia="Arial" w:hAnsi="Arial" w:cs="Arial"/>
          <w:i w:val="0"/>
          <w:iCs w:val="0"/>
          <w:color w:val="000000" w:themeColor="text1"/>
          <w:sz w:val="22"/>
          <w:szCs w:val="22"/>
        </w:rPr>
      </w:pPr>
      <w:bookmarkStart w:id="73" w:name="_Toc229395927"/>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9</w:t>
      </w:r>
      <w:r w:rsidR="00C95308">
        <w:rPr>
          <w:rFonts w:ascii="Arial" w:eastAsia="Arial" w:hAnsi="Arial" w:cs="Arial"/>
          <w:i w:val="0"/>
          <w:iCs w:val="0"/>
          <w:color w:val="000000" w:themeColor="text1"/>
          <w:sz w:val="22"/>
          <w:szCs w:val="22"/>
        </w:rPr>
        <w:fldChar w:fldCharType="end"/>
      </w:r>
      <w:r w:rsidR="00600E83">
        <w:rPr>
          <w:rFonts w:ascii="Arial" w:eastAsia="Arial" w:hAnsi="Arial" w:cs="Arial"/>
          <w:i w:val="0"/>
          <w:iCs w:val="0"/>
          <w:color w:val="000000" w:themeColor="text1"/>
          <w:sz w:val="22"/>
          <w:szCs w:val="22"/>
        </w:rPr>
        <w:t xml:space="preserve">: </w:t>
      </w:r>
      <w:r w:rsidR="00C95308" w:rsidRPr="00241C29">
        <w:rPr>
          <w:rFonts w:ascii="Arial" w:eastAsia="Arial" w:hAnsi="Arial" w:cs="Arial"/>
          <w:i w:val="0"/>
          <w:iCs w:val="0"/>
          <w:color w:val="000000" w:themeColor="text1"/>
          <w:sz w:val="22"/>
          <w:szCs w:val="22"/>
        </w:rPr>
        <w:t>Porcentaje de Endeudamiento</w:t>
      </w:r>
      <w:bookmarkEnd w:id="73"/>
    </w:p>
    <w:p w14:paraId="5BD28623" w14:textId="77777777" w:rsidR="00C95308" w:rsidRPr="00241C29" w:rsidRDefault="00C95308" w:rsidP="00C95308">
      <w:pPr>
        <w:spacing w:line="360" w:lineRule="auto"/>
        <w:jc w:val="both"/>
        <w:rPr>
          <w:rFonts w:ascii="Arial" w:hAnsi="Arial" w:cs="Arial"/>
          <w:sz w:val="22"/>
          <w:szCs w:val="22"/>
        </w:rPr>
      </w:pPr>
      <w:r>
        <w:rPr>
          <w:noProof/>
        </w:rPr>
        <w:drawing>
          <wp:inline distT="0" distB="0" distL="0" distR="0" wp14:anchorId="0497C16C" wp14:editId="38E6B1E5">
            <wp:extent cx="5612130" cy="2933700"/>
            <wp:effectExtent l="0" t="0" r="7620" b="0"/>
            <wp:docPr id="11" name="Gráfico 1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55AFA14" w14:textId="05613CCA" w:rsidR="00AA1F9D" w:rsidRDefault="00AA1F9D" w:rsidP="00C95308">
      <w:pPr>
        <w:spacing w:line="360" w:lineRule="auto"/>
        <w:jc w:val="both"/>
        <w:rPr>
          <w:rFonts w:ascii="Arial" w:hAnsi="Arial" w:cs="Arial"/>
          <w:color w:val="000000"/>
          <w:sz w:val="16"/>
          <w:szCs w:val="16"/>
          <w:lang w:eastAsia="es-CO"/>
        </w:rPr>
      </w:pPr>
      <w:r w:rsidRPr="00AA1F9D">
        <w:rPr>
          <w:rFonts w:ascii="Arial" w:hAnsi="Arial" w:cs="Arial"/>
          <w:color w:val="000000"/>
          <w:sz w:val="16"/>
          <w:szCs w:val="16"/>
          <w:lang w:eastAsia="es-CO"/>
        </w:rPr>
        <w:t xml:space="preserve">Fuente: Catálogo de información financiera EPS del régimen contributivo y subsidiado consolidado a diciembre de 2025, disponible en el portal de Datos Abiertos de la Superintendencia Nacional de Salud: </w:t>
      </w:r>
      <w:hyperlink r:id="rId39" w:anchor="/datos-abiertos/documents/760d95890d79460da9715b83b9d27933/about" w:history="1">
        <w:r w:rsidRPr="006A5061">
          <w:rPr>
            <w:rStyle w:val="Hipervnculo"/>
            <w:rFonts w:ascii="Arial" w:hAnsi="Arial" w:cs="Arial"/>
            <w:sz w:val="16"/>
            <w:szCs w:val="16"/>
            <w:lang w:eastAsia="es-CO"/>
          </w:rPr>
          <w:t>https://mapas.supersalud.gov.co/arcgisportal/apps/sites/#/datos-abiertos/documents/760d95890d79460da9715b83b9d27933/about</w:t>
        </w:r>
      </w:hyperlink>
      <w:r w:rsidRPr="00AA1F9D">
        <w:rPr>
          <w:rFonts w:ascii="Arial" w:hAnsi="Arial" w:cs="Arial"/>
          <w:color w:val="000000"/>
          <w:sz w:val="16"/>
          <w:szCs w:val="16"/>
          <w:lang w:eastAsia="es-CO"/>
        </w:rPr>
        <w:t>.</w:t>
      </w:r>
    </w:p>
    <w:p w14:paraId="6565A576" w14:textId="77777777" w:rsidR="00AA1F9D" w:rsidRDefault="00AA1F9D" w:rsidP="00C95308">
      <w:pPr>
        <w:spacing w:line="360" w:lineRule="auto"/>
        <w:jc w:val="both"/>
        <w:rPr>
          <w:rFonts w:ascii="Arial" w:hAnsi="Arial" w:cs="Arial"/>
          <w:color w:val="000000"/>
          <w:sz w:val="16"/>
          <w:szCs w:val="16"/>
          <w:lang w:eastAsia="es-CO"/>
        </w:rPr>
      </w:pPr>
    </w:p>
    <w:p w14:paraId="31E3D888" w14:textId="5D88D524" w:rsidR="0091682C" w:rsidRDefault="00C95308" w:rsidP="00C95308">
      <w:pPr>
        <w:spacing w:line="360" w:lineRule="auto"/>
        <w:jc w:val="both"/>
        <w:rPr>
          <w:rFonts w:ascii="Arial" w:hAnsi="Arial" w:cs="Arial"/>
          <w:sz w:val="22"/>
          <w:szCs w:val="22"/>
        </w:rPr>
      </w:pPr>
      <w:r w:rsidRPr="00056029">
        <w:rPr>
          <w:rFonts w:ascii="Arial" w:hAnsi="Arial" w:cs="Arial"/>
          <w:sz w:val="22"/>
          <w:szCs w:val="22"/>
        </w:rPr>
        <w:t xml:space="preserve">Como se observa en la gráfica, el indicador de endeudamiento de COOSALUD EPS presentó niveles altos desde el inicio del periodo analizado, al ubicarse en 75,02% en 2021, descender levemente a 70,55% en 2022 y aumentar nuevamente a 79,05% en 2023. Aunque entre 2021 y 2023 el comportamiento mostró oscilaciones moderadas, la situación cambia de manera abrupta en 2024, cuando el endeudamiento asciende a 144,24%, lo que representa un incremento de 65,19 puntos porcentuales frente al año anterior. </w:t>
      </w:r>
    </w:p>
    <w:p w14:paraId="6B1CD989" w14:textId="77777777" w:rsidR="0091682C" w:rsidRDefault="0091682C" w:rsidP="00C95308">
      <w:pPr>
        <w:spacing w:line="360" w:lineRule="auto"/>
        <w:jc w:val="both"/>
        <w:rPr>
          <w:rFonts w:ascii="Arial" w:hAnsi="Arial" w:cs="Arial"/>
          <w:sz w:val="22"/>
          <w:szCs w:val="22"/>
        </w:rPr>
      </w:pPr>
    </w:p>
    <w:p w14:paraId="42157DCA" w14:textId="0CF69773"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lastRenderedPageBreak/>
        <w:t>Esta tendencia se agrava en 2025, cuando el indicador alcanza 227,50%, con un aumento adicional de 83,26 puntos porcentuales respecto de 2024. En términos acumulados, entre 2021 y 2025 el endeudamiento aumentó 152,48 puntos porcentuales, equivalente a una variación relativa de 203,3%, lo que evidencia un deterioro acelerado de la estructura financiera de la entidad.</w:t>
      </w:r>
    </w:p>
    <w:p w14:paraId="4D8782C0" w14:textId="77777777" w:rsidR="00C95308" w:rsidRPr="00056029" w:rsidRDefault="00C95308" w:rsidP="00C95308">
      <w:pPr>
        <w:spacing w:line="360" w:lineRule="auto"/>
        <w:jc w:val="both"/>
        <w:rPr>
          <w:rFonts w:ascii="Arial" w:hAnsi="Arial" w:cs="Arial"/>
          <w:sz w:val="22"/>
          <w:szCs w:val="22"/>
        </w:rPr>
      </w:pPr>
    </w:p>
    <w:p w14:paraId="3C5CB8C1" w14:textId="77777777" w:rsidR="0091682C" w:rsidRDefault="00C95308" w:rsidP="00C95308">
      <w:pPr>
        <w:spacing w:line="360" w:lineRule="auto"/>
        <w:jc w:val="both"/>
        <w:rPr>
          <w:rFonts w:ascii="Arial" w:hAnsi="Arial" w:cs="Arial"/>
          <w:sz w:val="22"/>
          <w:szCs w:val="22"/>
        </w:rPr>
      </w:pPr>
      <w:r w:rsidRPr="00056029">
        <w:rPr>
          <w:rFonts w:ascii="Arial" w:hAnsi="Arial" w:cs="Arial"/>
          <w:sz w:val="22"/>
          <w:szCs w:val="22"/>
        </w:rPr>
        <w:t xml:space="preserve">Desde una perspectiva financiera, el comportamiento observado resulta altamente crítico, particularmente a partir de 2024, cuando el indicador supera el umbral del 100%, lo que significa que el total de los pasivos excede el valor de los activos. En otras palabras, desde ese momento la entidad deja de contar con respaldo patrimonial suficiente para cubrir sus obligaciones, configurando una situación de desequilibrio estructural. </w:t>
      </w:r>
    </w:p>
    <w:p w14:paraId="4D8E07D2" w14:textId="77777777" w:rsidR="0091682C" w:rsidRDefault="0091682C" w:rsidP="00C95308">
      <w:pPr>
        <w:spacing w:line="360" w:lineRule="auto"/>
        <w:jc w:val="both"/>
        <w:rPr>
          <w:rFonts w:ascii="Arial" w:hAnsi="Arial" w:cs="Arial"/>
          <w:sz w:val="22"/>
          <w:szCs w:val="22"/>
        </w:rPr>
      </w:pPr>
    </w:p>
    <w:p w14:paraId="62AFEDD1" w14:textId="4C289FFA"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t>Para 2025, el nivel de endeudamiento de 227,50% indica que por cada $100 de activos, COOSALUD EPS registraba $227,50 en pasivos, situación que refleja una dependencia extrema de recursos de terceros y una insuficiencia patrimonial severa. Este comportamiento es consistente con el aumento acelerado de los pasivos, el deterioro del patrimonio y la profundización de las pérdidas acumuladas observadas en otros componentes del análisis financiero.</w:t>
      </w:r>
    </w:p>
    <w:p w14:paraId="1243649D" w14:textId="77777777" w:rsidR="00C95308" w:rsidRDefault="00C95308" w:rsidP="00C95308">
      <w:pPr>
        <w:spacing w:line="360" w:lineRule="auto"/>
        <w:jc w:val="both"/>
        <w:rPr>
          <w:rFonts w:ascii="Arial" w:hAnsi="Arial" w:cs="Arial"/>
          <w:sz w:val="22"/>
          <w:szCs w:val="22"/>
        </w:rPr>
      </w:pPr>
    </w:p>
    <w:p w14:paraId="3E778DE9" w14:textId="77777777" w:rsidR="00C95308" w:rsidRDefault="00C95308" w:rsidP="00C95308">
      <w:pPr>
        <w:spacing w:line="360" w:lineRule="auto"/>
        <w:jc w:val="both"/>
        <w:rPr>
          <w:rFonts w:ascii="Arial" w:hAnsi="Arial" w:cs="Arial"/>
          <w:sz w:val="22"/>
          <w:szCs w:val="22"/>
        </w:rPr>
      </w:pPr>
      <w:r w:rsidRPr="000944EB">
        <w:rPr>
          <w:rFonts w:ascii="Arial" w:hAnsi="Arial" w:cs="Arial"/>
          <w:sz w:val="22"/>
          <w:szCs w:val="22"/>
        </w:rPr>
        <w:t xml:space="preserve">En síntesis, la evolución del endeudamiento de COOSALUD EPS evidencia un deterioro severo y sostenido de su solvencia financiera, con una profundización crítica del riesgo a partir de 2024. El hecho de que este indicador haya superado ampliamente el 100% desde ese año y alcanzado 227,50% en 2025 refleja que la entidad registra obligaciones muy superiores a su capacidad de respaldo en activos, configurando una situación de desequilibrio financiero estructural. Más allá de su expresión contable, este nivel de endeudamiento compromete la estabilidad de la EPS, incrementa su dependencia de recursos de terceros y reduce de manera significativa su capacidad para responder oportunamente a sus compromisos operacionales. En el marco del aseguramiento en salud, esta situación puede traducirse en mayores dificultades para garantizar el flujo adecuado de recursos hacia la red prestadora, aumento de tensiones de liquidez, afectación en la continuidad de la atención y mayor riesgo para la prestación efectiva de los servicios de salud a la población afiliada en Bogotá D. C. En consecuencia, el comportamiento de este indicador constituye una señal de alerta mayor sobre la viabilidad financiera de COOSALUD </w:t>
      </w:r>
      <w:r w:rsidRPr="000944EB">
        <w:rPr>
          <w:rFonts w:ascii="Arial" w:hAnsi="Arial" w:cs="Arial"/>
          <w:sz w:val="22"/>
          <w:szCs w:val="22"/>
        </w:rPr>
        <w:lastRenderedPageBreak/>
        <w:t>EPS y refuerza la necesidad de mantener un seguimiento estricto sobre su capacidad real de permanencia y cumplimiento.</w:t>
      </w:r>
    </w:p>
    <w:p w14:paraId="0B8C0A4D" w14:textId="77777777" w:rsidR="00C95308" w:rsidRDefault="00C95308" w:rsidP="00C95308">
      <w:pPr>
        <w:spacing w:line="360" w:lineRule="auto"/>
        <w:jc w:val="both"/>
        <w:rPr>
          <w:rFonts w:ascii="Arial" w:hAnsi="Arial" w:cs="Arial"/>
          <w:sz w:val="22"/>
          <w:szCs w:val="22"/>
        </w:rPr>
      </w:pPr>
    </w:p>
    <w:p w14:paraId="1673D99B" w14:textId="77777777" w:rsidR="00C95308" w:rsidRPr="00D97794"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4" w:name="_Toc229397864"/>
      <w:r w:rsidRPr="00D97794">
        <w:rPr>
          <w:rFonts w:ascii="Arial" w:hAnsi="Arial" w:cs="Arial"/>
          <w:b/>
          <w:bCs/>
          <w:color w:val="auto"/>
          <w:sz w:val="22"/>
          <w:szCs w:val="22"/>
        </w:rPr>
        <w:t xml:space="preserve">Siniestralidad </w:t>
      </w:r>
      <w:r>
        <w:rPr>
          <w:rFonts w:ascii="Arial" w:hAnsi="Arial" w:cs="Arial"/>
          <w:b/>
          <w:bCs/>
          <w:color w:val="auto"/>
          <w:sz w:val="22"/>
          <w:szCs w:val="22"/>
        </w:rPr>
        <w:t>(enero a diciembre de 2025)</w:t>
      </w:r>
      <w:bookmarkEnd w:id="74"/>
    </w:p>
    <w:p w14:paraId="756FDA89"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64369246" w14:textId="77777777" w:rsidR="0091682C" w:rsidRDefault="00C95308" w:rsidP="00C95308">
      <w:pPr>
        <w:spacing w:line="360" w:lineRule="auto"/>
        <w:jc w:val="both"/>
        <w:rPr>
          <w:rFonts w:ascii="Arial" w:eastAsia="Arial" w:hAnsi="Arial" w:cs="Arial"/>
          <w:sz w:val="22"/>
          <w:szCs w:val="22"/>
        </w:rPr>
      </w:pPr>
      <w:r w:rsidRPr="00771A98">
        <w:rPr>
          <w:rFonts w:ascii="Arial" w:hAnsi="Arial" w:cs="Arial"/>
          <w:sz w:val="22"/>
          <w:szCs w:val="22"/>
        </w:rPr>
        <w:t>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tensiones sobre la sostenibilidad, la constitución de reservas y el flujo de recursos hacia la red prestadora.</w:t>
      </w:r>
      <w:r>
        <w:rPr>
          <w:rFonts w:ascii="Arial" w:hAnsi="Arial" w:cs="Arial"/>
          <w:sz w:val="22"/>
          <w:szCs w:val="22"/>
        </w:rPr>
        <w:t xml:space="preserve">  Ahora bien, c</w:t>
      </w:r>
      <w:r w:rsidRPr="00CC098D">
        <w:rPr>
          <w:rFonts w:ascii="Arial" w:eastAsia="Arial" w:hAnsi="Arial" w:cs="Arial"/>
          <w:sz w:val="22"/>
          <w:szCs w:val="22"/>
        </w:rPr>
        <w:t>on el fin de analizar el comportamiento mensual del indicador objeto de seguimiento durante la vigencia 2025</w:t>
      </w:r>
      <w:r>
        <w:rPr>
          <w:rFonts w:ascii="Arial" w:eastAsia="Arial" w:hAnsi="Arial" w:cs="Arial"/>
          <w:sz w:val="22"/>
          <w:szCs w:val="22"/>
        </w:rPr>
        <w:t xml:space="preserve">. </w:t>
      </w:r>
    </w:p>
    <w:p w14:paraId="500A46A5" w14:textId="77777777" w:rsidR="0091682C" w:rsidRDefault="0091682C" w:rsidP="00C95308">
      <w:pPr>
        <w:spacing w:line="360" w:lineRule="auto"/>
        <w:jc w:val="both"/>
        <w:rPr>
          <w:rFonts w:ascii="Arial" w:eastAsia="Arial" w:hAnsi="Arial" w:cs="Arial"/>
          <w:sz w:val="22"/>
          <w:szCs w:val="22"/>
        </w:rPr>
      </w:pPr>
    </w:p>
    <w:p w14:paraId="5F1FA1B2" w14:textId="1C9660BF"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 xml:space="preserve">A </w:t>
      </w:r>
      <w:r w:rsidRPr="00CC098D">
        <w:rPr>
          <w:rFonts w:ascii="Arial" w:eastAsia="Arial" w:hAnsi="Arial" w:cs="Arial"/>
          <w:sz w:val="22"/>
          <w:szCs w:val="22"/>
        </w:rPr>
        <w:t>continuación, se presenta su evolución entre enero y diciembre. La gráfica permite identificar la tendencia general, los cambios más relevantes a lo largo del año y los momentos en los que se observa una mayor presión o variación del indicador. En términos generales, se evidencia un comportamiento fluctuante durante el primer semestre, seguido de una tendencia ascendente sostenida en el segundo semestre, con cierre en el valor más alto de toda la serie.</w:t>
      </w:r>
    </w:p>
    <w:p w14:paraId="770A12D6" w14:textId="77777777" w:rsidR="005E50EA" w:rsidRDefault="005E50EA" w:rsidP="00C95308">
      <w:pPr>
        <w:spacing w:line="360" w:lineRule="auto"/>
        <w:jc w:val="both"/>
        <w:rPr>
          <w:rFonts w:ascii="Arial" w:eastAsia="Arial" w:hAnsi="Arial" w:cs="Arial"/>
          <w:sz w:val="22"/>
          <w:szCs w:val="22"/>
        </w:rPr>
      </w:pPr>
    </w:p>
    <w:p w14:paraId="5B8B011B" w14:textId="0ED34DE1" w:rsidR="00C95308" w:rsidRPr="00241C29" w:rsidRDefault="00E2542F" w:rsidP="00A40F59">
      <w:pPr>
        <w:pStyle w:val="Descripcin"/>
        <w:spacing w:after="0" w:line="360" w:lineRule="auto"/>
        <w:rPr>
          <w:rFonts w:ascii="Arial" w:eastAsia="Arial" w:hAnsi="Arial" w:cs="Arial"/>
          <w:i w:val="0"/>
          <w:iCs w:val="0"/>
          <w:color w:val="000000" w:themeColor="text1"/>
          <w:sz w:val="22"/>
          <w:szCs w:val="22"/>
        </w:rPr>
      </w:pPr>
      <w:bookmarkStart w:id="75" w:name="_Toc229395928"/>
      <w:r>
        <w:rPr>
          <w:rFonts w:ascii="Arial" w:eastAsia="Arial" w:hAnsi="Arial" w:cs="Arial"/>
          <w:i w:val="0"/>
          <w:iCs w:val="0"/>
          <w:color w:val="000000" w:themeColor="text1"/>
          <w:sz w:val="22"/>
          <w:szCs w:val="22"/>
        </w:rPr>
        <w:t>Gráfica</w:t>
      </w:r>
      <w:r w:rsidR="00C95308" w:rsidRPr="00241C29">
        <w:rPr>
          <w:rFonts w:ascii="Arial" w:eastAsia="Arial" w:hAnsi="Arial" w:cs="Arial"/>
          <w:i w:val="0"/>
          <w:iCs w:val="0"/>
          <w:color w:val="000000" w:themeColor="text1"/>
          <w:sz w:val="22"/>
          <w:szCs w:val="22"/>
        </w:rPr>
        <w:t xml:space="preserve"> </w:t>
      </w:r>
      <w:r w:rsidR="00C95308">
        <w:rPr>
          <w:rFonts w:ascii="Arial" w:eastAsia="Arial" w:hAnsi="Arial" w:cs="Arial"/>
          <w:i w:val="0"/>
          <w:iCs w:val="0"/>
          <w:color w:val="000000" w:themeColor="text1"/>
          <w:sz w:val="22"/>
          <w:szCs w:val="22"/>
        </w:rPr>
        <w:fldChar w:fldCharType="begin"/>
      </w:r>
      <w:r w:rsidR="00C95308">
        <w:rPr>
          <w:rFonts w:ascii="Arial" w:eastAsia="Arial" w:hAnsi="Arial" w:cs="Arial"/>
          <w:i w:val="0"/>
          <w:iCs w:val="0"/>
          <w:color w:val="000000" w:themeColor="text1"/>
          <w:sz w:val="22"/>
          <w:szCs w:val="22"/>
        </w:rPr>
        <w:instrText xml:space="preserve"> SEQ Ilustración \* ARABIC </w:instrText>
      </w:r>
      <w:r w:rsidR="00C95308">
        <w:rPr>
          <w:rFonts w:ascii="Arial" w:eastAsia="Arial" w:hAnsi="Arial" w:cs="Arial"/>
          <w:i w:val="0"/>
          <w:iCs w:val="0"/>
          <w:color w:val="000000" w:themeColor="text1"/>
          <w:sz w:val="22"/>
          <w:szCs w:val="22"/>
        </w:rPr>
        <w:fldChar w:fldCharType="separate"/>
      </w:r>
      <w:r w:rsidR="00C95308">
        <w:rPr>
          <w:rFonts w:ascii="Arial" w:eastAsia="Arial" w:hAnsi="Arial" w:cs="Arial"/>
          <w:i w:val="0"/>
          <w:iCs w:val="0"/>
          <w:noProof/>
          <w:color w:val="000000" w:themeColor="text1"/>
          <w:sz w:val="22"/>
          <w:szCs w:val="22"/>
        </w:rPr>
        <w:t>10</w:t>
      </w:r>
      <w:r w:rsidR="00C95308">
        <w:rPr>
          <w:rFonts w:ascii="Arial" w:eastAsia="Arial" w:hAnsi="Arial" w:cs="Arial"/>
          <w:i w:val="0"/>
          <w:iCs w:val="0"/>
          <w:color w:val="000000" w:themeColor="text1"/>
          <w:sz w:val="22"/>
          <w:szCs w:val="22"/>
        </w:rPr>
        <w:fldChar w:fldCharType="end"/>
      </w:r>
      <w:r w:rsidR="005E50EA">
        <w:rPr>
          <w:rFonts w:ascii="Arial" w:eastAsia="Arial" w:hAnsi="Arial" w:cs="Arial"/>
          <w:i w:val="0"/>
          <w:iCs w:val="0"/>
          <w:color w:val="000000" w:themeColor="text1"/>
          <w:sz w:val="22"/>
          <w:szCs w:val="22"/>
        </w:rPr>
        <w:t xml:space="preserve">: </w:t>
      </w:r>
      <w:r w:rsidR="00C95308" w:rsidRPr="00241C29">
        <w:rPr>
          <w:rFonts w:ascii="Arial" w:eastAsia="Arial" w:hAnsi="Arial" w:cs="Arial"/>
          <w:i w:val="0"/>
          <w:iCs w:val="0"/>
          <w:color w:val="000000" w:themeColor="text1"/>
          <w:sz w:val="22"/>
          <w:szCs w:val="22"/>
        </w:rPr>
        <w:t>Siniestralidad,</w:t>
      </w:r>
      <w:r w:rsidR="00C95308">
        <w:rPr>
          <w:rFonts w:ascii="Arial" w:eastAsia="Arial" w:hAnsi="Arial" w:cs="Arial"/>
          <w:i w:val="0"/>
          <w:iCs w:val="0"/>
          <w:color w:val="000000" w:themeColor="text1"/>
          <w:sz w:val="22"/>
          <w:szCs w:val="22"/>
        </w:rPr>
        <w:t xml:space="preserve"> COOSALUD EPS (ene-dic 2025)</w:t>
      </w:r>
      <w:bookmarkEnd w:id="75"/>
    </w:p>
    <w:p w14:paraId="7EB641AC" w14:textId="77777777" w:rsidR="00C95308" w:rsidRPr="00241C29" w:rsidRDefault="00C95308" w:rsidP="00C95308">
      <w:pPr>
        <w:spacing w:line="360" w:lineRule="auto"/>
        <w:jc w:val="both"/>
        <w:rPr>
          <w:rFonts w:ascii="Arial" w:hAnsi="Arial" w:cs="Arial"/>
          <w:sz w:val="22"/>
          <w:szCs w:val="22"/>
        </w:rPr>
      </w:pPr>
      <w:r>
        <w:rPr>
          <w:noProof/>
        </w:rPr>
        <w:drawing>
          <wp:inline distT="0" distB="0" distL="0" distR="0" wp14:anchorId="620F3833" wp14:editId="7CEBF695">
            <wp:extent cx="5981700" cy="2647950"/>
            <wp:effectExtent l="0" t="0" r="0" b="0"/>
            <wp:docPr id="12" name="Gráfico 1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4FBFC97" w14:textId="04E0C6D1" w:rsidR="0018759B" w:rsidRDefault="00C95308" w:rsidP="00C95308">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18759B" w:rsidRPr="0018759B">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41" w:anchor="/datos-abiertos/documents/760d95890d79460da9715b83b9d27933/about" w:history="1">
        <w:r w:rsidR="0018759B" w:rsidRPr="006A5061">
          <w:rPr>
            <w:rStyle w:val="Hipervnculo"/>
            <w:rFonts w:ascii="Arial" w:hAnsi="Arial" w:cs="Arial"/>
            <w:sz w:val="16"/>
            <w:szCs w:val="16"/>
            <w:lang w:eastAsia="es-CO"/>
          </w:rPr>
          <w:t>https://mapas.supersalud.gov.co/arcgisportal/apps/sites/#/datos-abiertos/documents/760d95890d79460da9715b83b9d27933/about</w:t>
        </w:r>
      </w:hyperlink>
    </w:p>
    <w:p w14:paraId="31024DA9" w14:textId="3EB1C5BF" w:rsidR="00C95308" w:rsidRPr="009031ED" w:rsidRDefault="0018759B" w:rsidP="00C95308">
      <w:pPr>
        <w:jc w:val="both"/>
        <w:textAlignment w:val="baseline"/>
        <w:rPr>
          <w:rFonts w:ascii="Arial" w:hAnsi="Arial" w:cs="Arial"/>
          <w:color w:val="000000"/>
          <w:sz w:val="16"/>
          <w:szCs w:val="16"/>
          <w:lang w:eastAsia="es-CO"/>
        </w:rPr>
      </w:pPr>
      <w:r w:rsidRPr="0018759B">
        <w:rPr>
          <w:rFonts w:ascii="Arial" w:hAnsi="Arial" w:cs="Arial"/>
          <w:color w:val="000000"/>
          <w:sz w:val="16"/>
          <w:szCs w:val="16"/>
          <w:lang w:eastAsia="es-CO"/>
        </w:rPr>
        <w:t>.</w:t>
      </w:r>
    </w:p>
    <w:p w14:paraId="406A0E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3FC30614"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Como se observa en la gráfica, el indicador inició en enero de 2025 con 95,10%, aumentó en febrero a 105,03% y alcanzó 108,19% en marzo; posteriormente descendió a 100,76% en abril y a 95,03% en mayo, ubicándose nuevamente por debajo del umbral del 100%. A partir de junio se presenta un cambio claro de tendencia, con un incremento a 118,46%, seguido de variaciones positivas sucesivas en julio (119,08%), agosto (119,71%), septiembre (124,66%), octubre (126,78%), noviembre (127,68%) y diciembre (132,17%). En consecuencia, el segundo semestre muestra una trayectoria de crecimiento sostenido y sin retrocesos, lo que contrasta con la inestabilidad observada en los primeros cinco meses del año.</w:t>
      </w:r>
    </w:p>
    <w:p w14:paraId="37CCFC51" w14:textId="77777777" w:rsidR="00C95308" w:rsidRPr="00CC098D" w:rsidRDefault="00C95308" w:rsidP="00C95308">
      <w:pPr>
        <w:spacing w:line="360" w:lineRule="auto"/>
        <w:jc w:val="both"/>
        <w:rPr>
          <w:rFonts w:ascii="Arial" w:eastAsia="Arial" w:hAnsi="Arial" w:cs="Arial"/>
          <w:sz w:val="22"/>
          <w:szCs w:val="22"/>
        </w:rPr>
      </w:pPr>
    </w:p>
    <w:p w14:paraId="4DF87B1A"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Desde una perspectiva analítica, la serie evidencia dos momentos diferenciados</w:t>
      </w:r>
      <w:r>
        <w:rPr>
          <w:rFonts w:ascii="Arial" w:eastAsia="Arial" w:hAnsi="Arial" w:cs="Arial"/>
          <w:sz w:val="22"/>
          <w:szCs w:val="22"/>
        </w:rPr>
        <w:t xml:space="preserve">; </w:t>
      </w:r>
      <w:r w:rsidRPr="00CC098D">
        <w:rPr>
          <w:rFonts w:ascii="Arial" w:eastAsia="Arial" w:hAnsi="Arial" w:cs="Arial"/>
          <w:sz w:val="22"/>
          <w:szCs w:val="22"/>
        </w:rPr>
        <w:t>un primer periodo, entre enero y mayo, caracterizado por oscilaciones y niveles cercanos o inferiores al 100%; y un segundo periodo, entre junio y diciembre, marcado por un incremento continuo y una consolidación en niveles superiores al 118%. Entre enero y diciembre, el indicador aumentó en 37,07 puntos porcentuales, equivalente a una variación relativa de 38,98%, mientras que entre mayo y junio se presentó el cambio más brusco de la serie, con un aumento de 23,43 puntos porcentuales. Del mismo modo, entre junio y diciembre se registra un crecimiento adicional de 13,71 puntos porcentuales, lo que confirma la persistencia de la tendencia ascendente en el cierre del año.</w:t>
      </w:r>
    </w:p>
    <w:p w14:paraId="50977FD1" w14:textId="77777777" w:rsidR="00C95308" w:rsidRPr="00CC098D" w:rsidRDefault="00C95308" w:rsidP="00C95308">
      <w:pPr>
        <w:spacing w:line="360" w:lineRule="auto"/>
        <w:jc w:val="both"/>
        <w:rPr>
          <w:rFonts w:ascii="Arial" w:eastAsia="Arial" w:hAnsi="Arial" w:cs="Arial"/>
          <w:sz w:val="22"/>
          <w:szCs w:val="22"/>
        </w:rPr>
      </w:pPr>
    </w:p>
    <w:p w14:paraId="5F0F59ED"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t xml:space="preserve">En síntesis, la evolución de la siniestralidad de COOSALUD EPS evidencia un deterioro sostenido del equilibrio financiero de la operación del aseguramiento durante 2025, con una intensificación especialmente crítica a partir de junio y cierre en diciembre en el nivel más alto de toda la serie. Este comportamiento no debe interpretarse como una variación coyuntural, sino como la manifestación de una presión creciente de los costos de atención frente a los ingresos disponibles para respaldarlos. En términos operativos y financieros, el aumento progresivo de la siniestralidad sugiere limitaciones en la capacidad de la entidad para contener el gasto en salud, gestionar adecuadamente el riesgo y sostener un equilibrio técnico en la administración de los recursos. </w:t>
      </w:r>
    </w:p>
    <w:p w14:paraId="6AF9D39A" w14:textId="77777777" w:rsidR="00C95308" w:rsidRDefault="00C95308" w:rsidP="00C95308">
      <w:pPr>
        <w:spacing w:line="360" w:lineRule="auto"/>
        <w:jc w:val="both"/>
        <w:rPr>
          <w:rFonts w:ascii="Arial" w:eastAsia="Arial" w:hAnsi="Arial" w:cs="Arial"/>
          <w:sz w:val="22"/>
          <w:szCs w:val="22"/>
        </w:rPr>
      </w:pPr>
    </w:p>
    <w:p w14:paraId="0D37BA7A"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lastRenderedPageBreak/>
        <w:t>En el marco del aseguramiento, esta situación resulta particularmente preocupante, en la medida en que puede traducirse en mayores tensiones de liquidez, debilitamiento de la red prestadora, incremento de barreras de acceso, demoras en la atención y mayor riesgo de interrupción en la continuidad de los tratamientos para la población afiliada en Bogotá D. C. En consecuencia, el comportamiento de este indicador constituye una señal de alerta sobre la sostenibilidad operativa y financiera de COOSALUD EPS y refuerza la necesidad de mantener un seguimiento estricto sobre su capacidad real para garantizar la prestación efectiva y oportuna de los servicios de salud.</w:t>
      </w:r>
    </w:p>
    <w:p w14:paraId="04715980" w14:textId="77777777" w:rsidR="00C95308" w:rsidRPr="00C95308" w:rsidRDefault="00C95308" w:rsidP="006068A2">
      <w:pPr>
        <w:spacing w:line="360" w:lineRule="auto"/>
        <w:jc w:val="both"/>
        <w:rPr>
          <w:rFonts w:ascii="Arial" w:hAnsi="Arial" w:cs="Arial"/>
          <w:sz w:val="22"/>
          <w:szCs w:val="22"/>
        </w:rPr>
      </w:pPr>
    </w:p>
    <w:p w14:paraId="3E538BBB" w14:textId="1761AA59" w:rsidR="00595EA7" w:rsidRPr="006068A2" w:rsidRDefault="00B73EA3" w:rsidP="0088735C">
      <w:pPr>
        <w:pStyle w:val="Ttulo1"/>
        <w:numPr>
          <w:ilvl w:val="0"/>
          <w:numId w:val="9"/>
        </w:numPr>
        <w:spacing w:before="0" w:line="360" w:lineRule="auto"/>
        <w:jc w:val="both"/>
        <w:rPr>
          <w:rFonts w:ascii="Arial" w:hAnsi="Arial" w:cs="Arial"/>
          <w:b/>
          <w:bCs/>
          <w:color w:val="auto"/>
          <w:sz w:val="22"/>
          <w:szCs w:val="22"/>
        </w:rPr>
      </w:pPr>
      <w:bookmarkStart w:id="76" w:name="_Toc229397865"/>
      <w:r w:rsidRPr="006068A2">
        <w:rPr>
          <w:rFonts w:ascii="Arial" w:hAnsi="Arial" w:cs="Arial"/>
          <w:b/>
          <w:bCs/>
          <w:color w:val="auto"/>
          <w:sz w:val="22"/>
          <w:szCs w:val="22"/>
        </w:rPr>
        <w:t>CONCLUSIONES</w:t>
      </w:r>
      <w:bookmarkEnd w:id="76"/>
      <w:r w:rsidR="00595EA7" w:rsidRPr="006068A2">
        <w:rPr>
          <w:rFonts w:ascii="Arial" w:hAnsi="Arial" w:cs="Arial"/>
          <w:b/>
          <w:bCs/>
          <w:color w:val="auto"/>
          <w:sz w:val="22"/>
          <w:szCs w:val="22"/>
        </w:rPr>
        <w:t xml:space="preserve"> </w:t>
      </w:r>
    </w:p>
    <w:p w14:paraId="4552CE83" w14:textId="77777777" w:rsidR="0068387D" w:rsidRDefault="0068387D" w:rsidP="006068A2">
      <w:pPr>
        <w:spacing w:line="360" w:lineRule="auto"/>
        <w:jc w:val="both"/>
        <w:rPr>
          <w:rFonts w:ascii="Arial" w:hAnsi="Arial" w:cs="Arial"/>
          <w:color w:val="000000" w:themeColor="text1"/>
          <w:sz w:val="22"/>
          <w:szCs w:val="22"/>
        </w:rPr>
      </w:pPr>
    </w:p>
    <w:p w14:paraId="7560986D" w14:textId="4F184A68"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una operación territorial que, aunque cuantitativamente pequeña dentro del aseguramiento de Bogotá, genera un riesgo relevante para la red distrital y para la atención de sus afiliados.</w:t>
      </w:r>
      <w:r w:rsidRPr="00A50C92">
        <w:rPr>
          <w:rFonts w:ascii="Arial" w:hAnsi="Arial" w:cs="Arial"/>
          <w:color w:val="000000" w:themeColor="text1"/>
          <w:sz w:val="22"/>
          <w:szCs w:val="22"/>
        </w:rPr>
        <w:t xml:space="preserve"> Al cierre de 2025, COOSALUD EPS registró </w:t>
      </w:r>
      <w:r w:rsidRPr="00A50C92">
        <w:rPr>
          <w:rFonts w:ascii="Arial" w:hAnsi="Arial" w:cs="Arial"/>
          <w:b/>
          <w:bCs/>
          <w:color w:val="000000" w:themeColor="text1"/>
          <w:sz w:val="22"/>
          <w:szCs w:val="22"/>
        </w:rPr>
        <w:t>34.472 afiliados en Bogotá D. C.</w:t>
      </w:r>
      <w:r w:rsidRPr="00A50C92">
        <w:rPr>
          <w:rFonts w:ascii="Arial" w:hAnsi="Arial" w:cs="Arial"/>
          <w:color w:val="000000" w:themeColor="text1"/>
          <w:sz w:val="22"/>
          <w:szCs w:val="22"/>
        </w:rPr>
        <w:t xml:space="preserve">, equivalentes al </w:t>
      </w:r>
      <w:r w:rsidRPr="00A50C92">
        <w:rPr>
          <w:rFonts w:ascii="Arial" w:hAnsi="Arial" w:cs="Arial"/>
          <w:b/>
          <w:bCs/>
          <w:color w:val="000000" w:themeColor="text1"/>
          <w:sz w:val="22"/>
          <w:szCs w:val="22"/>
        </w:rPr>
        <w:t>0,4%</w:t>
      </w:r>
      <w:r w:rsidRPr="00A50C92">
        <w:rPr>
          <w:rFonts w:ascii="Arial" w:hAnsi="Arial" w:cs="Arial"/>
          <w:color w:val="000000" w:themeColor="text1"/>
          <w:sz w:val="22"/>
          <w:szCs w:val="22"/>
        </w:rPr>
        <w:t xml:space="preserve"> del total distrital, con una marcada concentración en el régimen subsidiado. Sin embargo, esta baja participación no reduce la relevancia del riesgo, porque Bogotá también soporta la demanda de mediana y alta complejidad de afiliados de COOSALUD EPS residentes en municipios circunvecinos, donde la EPS reportó </w:t>
      </w:r>
      <w:r w:rsidRPr="00A50C92">
        <w:rPr>
          <w:rFonts w:ascii="Arial" w:hAnsi="Arial" w:cs="Arial"/>
          <w:b/>
          <w:bCs/>
          <w:color w:val="000000" w:themeColor="text1"/>
          <w:sz w:val="22"/>
          <w:szCs w:val="22"/>
        </w:rPr>
        <w:t>36.416 usuarios</w:t>
      </w:r>
      <w:r w:rsidRPr="00A50C92">
        <w:rPr>
          <w:rFonts w:ascii="Arial" w:hAnsi="Arial" w:cs="Arial"/>
          <w:color w:val="000000" w:themeColor="text1"/>
          <w:sz w:val="22"/>
          <w:szCs w:val="22"/>
        </w:rPr>
        <w:t xml:space="preserve"> en 2025. En consecuencia, para los afiliados de COOSALUD EPS y para la red del Distrito, esta configuración implica mayor presión asistencial, riesgo de congestión, demoras en la atención y mayores exigencias sobre la capacidad resolutiva de la red prestadora. </w:t>
      </w:r>
    </w:p>
    <w:p w14:paraId="01CFC6E7" w14:textId="77777777" w:rsidR="007F09E6" w:rsidRPr="00A50C92" w:rsidRDefault="007F09E6" w:rsidP="007F09E6">
      <w:pPr>
        <w:pStyle w:val="Prrafodelista"/>
        <w:spacing w:line="360" w:lineRule="auto"/>
        <w:ind w:left="360"/>
        <w:jc w:val="both"/>
        <w:rPr>
          <w:rFonts w:ascii="Arial" w:hAnsi="Arial" w:cs="Arial"/>
          <w:color w:val="000000" w:themeColor="text1"/>
          <w:sz w:val="22"/>
          <w:szCs w:val="22"/>
        </w:rPr>
      </w:pPr>
    </w:p>
    <w:p w14:paraId="15C48975" w14:textId="01A6A97E" w:rsidR="00A50C92" w:rsidRPr="00683186"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evidencia un deterioro sostenido en la experiencia de sus usuarios, reflejado en el volumen y la tendencia creciente de reclamaciones y PQRS.</w:t>
      </w:r>
      <w:r w:rsidRPr="00A50C92">
        <w:rPr>
          <w:rFonts w:ascii="Arial" w:hAnsi="Arial" w:cs="Arial"/>
          <w:color w:val="000000" w:themeColor="text1"/>
          <w:sz w:val="22"/>
          <w:szCs w:val="22"/>
        </w:rPr>
        <w:t xml:space="preserve"> </w:t>
      </w:r>
      <w:r w:rsidRPr="00683186">
        <w:rPr>
          <w:rFonts w:ascii="Arial" w:hAnsi="Arial" w:cs="Arial"/>
          <w:color w:val="000000" w:themeColor="text1"/>
          <w:sz w:val="22"/>
          <w:szCs w:val="22"/>
        </w:rPr>
        <w:t xml:space="preserve">En 2025, COOSALUD EPS registró en Bogotá una tasa de 502,90 reclamos en salud por cada 10.000 afiliados, con 1.725 reclamos acumulados, lo que la ubicó en el sexto lugar entre las EPS con mayor tasa de reclamos en el Distrito. Adicionalmente, COOSALUD EPS acumuló 3.368 PQRS, equivalentes a 97,7 por cada 1.000 afiliados, cifra que confirma una carga elevada de inconformidad frente al tamaño de su población afiliada. Para los afiliados de COOSALUD EPS, este comportamiento representa una señal clara de deterioro en la oportunidad, continuidad y calidad percibida de la </w:t>
      </w:r>
      <w:r w:rsidRPr="00683186">
        <w:rPr>
          <w:rFonts w:ascii="Arial" w:hAnsi="Arial" w:cs="Arial"/>
          <w:color w:val="000000" w:themeColor="text1"/>
          <w:sz w:val="22"/>
          <w:szCs w:val="22"/>
        </w:rPr>
        <w:lastRenderedPageBreak/>
        <w:t xml:space="preserve">atención, con riesgo de profundización de barreras, pérdida de confianza institucional y aumento de la judicialización para obtener servicios. </w:t>
      </w:r>
    </w:p>
    <w:p w14:paraId="31FD44B8" w14:textId="77777777" w:rsidR="00683186" w:rsidRPr="00683186" w:rsidRDefault="00683186" w:rsidP="00683186">
      <w:pPr>
        <w:pStyle w:val="Prrafodelista"/>
        <w:rPr>
          <w:rFonts w:ascii="Arial" w:hAnsi="Arial" w:cs="Arial"/>
          <w:color w:val="000000" w:themeColor="text1"/>
          <w:sz w:val="22"/>
          <w:szCs w:val="22"/>
        </w:rPr>
      </w:pPr>
    </w:p>
    <w:p w14:paraId="2FDA0AB9" w14:textId="44D97DBE" w:rsidR="00A50C92" w:rsidRPr="002A44A9"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una gestión de PQRS marcadamente inoportuna, lo que incrementa el riesgo de agravamiento de barreras de acceso y afectación directa del derecho a la salud de sus afiliados.</w:t>
      </w:r>
      <w:r w:rsidRPr="00A50C92">
        <w:rPr>
          <w:rFonts w:ascii="Arial" w:hAnsi="Arial" w:cs="Arial"/>
          <w:color w:val="000000" w:themeColor="text1"/>
          <w:sz w:val="22"/>
          <w:szCs w:val="22"/>
        </w:rPr>
        <w:t xml:space="preserve"> </w:t>
      </w:r>
      <w:r w:rsidRPr="002A44A9">
        <w:rPr>
          <w:rFonts w:ascii="Arial" w:hAnsi="Arial" w:cs="Arial"/>
          <w:color w:val="000000" w:themeColor="text1"/>
          <w:sz w:val="22"/>
          <w:szCs w:val="22"/>
        </w:rPr>
        <w:t xml:space="preserve">Los incumplimientos en tiempos de respuesta alcanzaron 50% en riesgo vital, 69,13% en riesgo priorizado y 55,38% en riesgo simple, porcentajes que resultan especialmente críticos porque comprometen manifestaciones asociadas a necesidades de atención urgente o preferente. Para los afiliados de COOSALUD EPS, esta inoportunidad no es un problema meramente administrativo: implica mayor probabilidad de retraso en autorizaciones, persistencia de barreras, interrupción de tratamientos y mayor exposición a complicaciones clínicas por ausencia de respuesta oportuna. En términos institucionales, evidencia debilidades estructurales en clasificación, priorización, escalamiento y cierre efectivo de los casos. </w:t>
      </w:r>
    </w:p>
    <w:p w14:paraId="1A19DD7E" w14:textId="77777777" w:rsidR="00683186" w:rsidRPr="00683186" w:rsidRDefault="00683186" w:rsidP="00683186">
      <w:pPr>
        <w:pStyle w:val="Prrafodelista"/>
        <w:rPr>
          <w:rFonts w:ascii="Arial" w:hAnsi="Arial" w:cs="Arial"/>
          <w:color w:val="000000" w:themeColor="text1"/>
          <w:sz w:val="22"/>
          <w:szCs w:val="22"/>
        </w:rPr>
      </w:pPr>
    </w:p>
    <w:p w14:paraId="5ADA1E0B" w14:textId="74A1AC16" w:rsidR="00A50C92" w:rsidRPr="00570E0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barreras de acceso estructurales que afectan de forma directa la atención efectiva de sus afiliados en Bogotá D. C.</w:t>
      </w:r>
      <w:r w:rsidRPr="00A50C92">
        <w:rPr>
          <w:rFonts w:ascii="Arial" w:hAnsi="Arial" w:cs="Arial"/>
          <w:color w:val="000000" w:themeColor="text1"/>
          <w:sz w:val="22"/>
          <w:szCs w:val="22"/>
        </w:rPr>
        <w:t xml:space="preserve"> </w:t>
      </w:r>
      <w:r w:rsidRPr="00570E02">
        <w:rPr>
          <w:rFonts w:ascii="Arial" w:hAnsi="Arial" w:cs="Arial"/>
          <w:color w:val="000000" w:themeColor="text1"/>
          <w:sz w:val="22"/>
          <w:szCs w:val="22"/>
        </w:rPr>
        <w:t xml:space="preserve">Los principales motivos de inconformidad se concentraron en la falta de oportunidad en consulta especializada (27,46%), la demora o entrega incompleta de medicamentos (15,85%), las dificultades en aseguramiento y prestaciones económicas (12,62%), la demora en medicina general (8,46%) y la inoportunidad en procedimientos no quirúrgicos (5,52%), que en conjunto representan 69,92% de las manifestaciones. De manera consistente, en el análisis distrital de barreras tramitadas por la SDS, para los afiliados de COOSALUD EPS el 74% de los casos correspondió a no oportunidad de servicios y el 17% a no suministro de medicamentos. Esto demuestra que COOSALUD EPS concentra sus principales riesgos operativos en fallas de acceso, oportunidad y continuidad terapéutica, con potencial de generar diagnósticos tardíos, descompensación de patologías crónicas y mayor presión sobre urgencias y atención de alta complejidad. </w:t>
      </w:r>
    </w:p>
    <w:p w14:paraId="10586BDC" w14:textId="77777777" w:rsidR="00683186" w:rsidRPr="00683186" w:rsidRDefault="00683186" w:rsidP="00683186">
      <w:pPr>
        <w:pStyle w:val="Prrafodelista"/>
        <w:rPr>
          <w:rFonts w:ascii="Arial" w:hAnsi="Arial" w:cs="Arial"/>
          <w:color w:val="000000" w:themeColor="text1"/>
          <w:sz w:val="22"/>
          <w:szCs w:val="22"/>
        </w:rPr>
      </w:pPr>
    </w:p>
    <w:p w14:paraId="7CBF66BB" w14:textId="00D7AEA8"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debilidades críticas en la trazabilidad y demostración de la gestión del riesgo materno-perinatal, aun cuando no reportó mortalidad materna en 2025.</w:t>
      </w:r>
      <w:r w:rsidRPr="00A50C92">
        <w:rPr>
          <w:rFonts w:ascii="Arial" w:hAnsi="Arial" w:cs="Arial"/>
          <w:color w:val="000000" w:themeColor="text1"/>
          <w:sz w:val="22"/>
          <w:szCs w:val="22"/>
        </w:rPr>
        <w:t xml:space="preserve"> Las auditorías IVS y GAUDI evidenciaron ausencia de soportes, inconsistencias en cohortes de gestantes y recién nacidos, y falta de variables fundamentales para verificar el cumplimiento de las intervenciones de la Ruta Integral </w:t>
      </w:r>
      <w:r w:rsidRPr="00A50C92">
        <w:rPr>
          <w:rFonts w:ascii="Arial" w:hAnsi="Arial" w:cs="Arial"/>
          <w:color w:val="000000" w:themeColor="text1"/>
          <w:sz w:val="22"/>
          <w:szCs w:val="22"/>
        </w:rPr>
        <w:lastRenderedPageBreak/>
        <w:t xml:space="preserve">de Atención Materno Perinatal. Aunque COOSALUD EPS no registró eventos de mortalidad materna, esta carencia de información limita severamente la capacidad de demostrar gestión efectiva del riesgo y reduce la posibilidad de anticipar o intervenir oportunamente eventos adversos. Para los afiliados de COOSALUD EPS, especialmente gestantes y recién nacidos, este hallazgo constituye una señal de alerta de alta sensibilidad, porque compromete la trazabilidad del seguimiento, la capacidad preventiva de la EPS y la verificación territorial del cumplimiento de sus obligaciones. </w:t>
      </w:r>
    </w:p>
    <w:p w14:paraId="3CCBE98A" w14:textId="77777777" w:rsidR="00250F61" w:rsidRPr="00250F61" w:rsidRDefault="00250F61" w:rsidP="00250F61">
      <w:pPr>
        <w:pStyle w:val="Prrafodelista"/>
        <w:rPr>
          <w:rFonts w:ascii="Arial" w:hAnsi="Arial" w:cs="Arial"/>
          <w:color w:val="000000" w:themeColor="text1"/>
          <w:sz w:val="22"/>
          <w:szCs w:val="22"/>
        </w:rPr>
      </w:pPr>
    </w:p>
    <w:p w14:paraId="55D512DC" w14:textId="6A2299B1" w:rsidR="00A50C92" w:rsidRPr="00250F61"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brechas importantes en resultados de salud y prevención, particularmente en mortalidad infantil y coberturas de vacunación, lo que incrementa la vulnerabilidad de sus afiliados.</w:t>
      </w:r>
      <w:r w:rsidRPr="00A50C92">
        <w:rPr>
          <w:rFonts w:ascii="Arial" w:hAnsi="Arial" w:cs="Arial"/>
          <w:color w:val="000000" w:themeColor="text1"/>
          <w:sz w:val="22"/>
          <w:szCs w:val="22"/>
        </w:rPr>
        <w:t xml:space="preserve"> </w:t>
      </w:r>
      <w:r w:rsidRPr="00250F61">
        <w:rPr>
          <w:rFonts w:ascii="Arial" w:hAnsi="Arial" w:cs="Arial"/>
          <w:color w:val="000000" w:themeColor="text1"/>
          <w:sz w:val="22"/>
          <w:szCs w:val="22"/>
        </w:rPr>
        <w:t xml:space="preserve">En mortalidad infantil, COOSALUD EPS registró 4 casos en 2025, concentrados en Bosa, Usme y Ciudad Bolívar, con predominio de causas asociadas al periodo perinatal y neonatal. En vacunación, aunque COOSALUD EPS superó la meta en varios trazadores del PAI, persisten rezagos significativos en DPT segundo refuerzo a los 5 años (82%), VPH (46% en niñas y 38% en niños), segunda dosis de influenza en menores de un año (69%), influenza en adultos de 60 años y más (68%) y sarampión-rubéola (91,6%, con 221 susceptibles). Para los afiliados de COOSALUD EPS, estas brechas no solo reflejan fallas programáticas: implican mayor exposición a eventos inmunoprevenibles, menor protección colectiva y aumento del riesgo sanitario en grupos de alta prioridad, como primera infancia, escolares, adultos mayores y adolescentes. </w:t>
      </w:r>
    </w:p>
    <w:p w14:paraId="2C03806A" w14:textId="77777777" w:rsidR="00250F61" w:rsidRPr="00250F61" w:rsidRDefault="00250F61" w:rsidP="00250F61">
      <w:pPr>
        <w:pStyle w:val="Prrafodelista"/>
        <w:spacing w:line="360" w:lineRule="auto"/>
        <w:ind w:left="360"/>
        <w:jc w:val="both"/>
        <w:rPr>
          <w:rFonts w:ascii="Arial" w:hAnsi="Arial" w:cs="Arial"/>
          <w:color w:val="000000" w:themeColor="text1"/>
          <w:sz w:val="22"/>
          <w:szCs w:val="22"/>
        </w:rPr>
      </w:pPr>
    </w:p>
    <w:p w14:paraId="6A4176BC" w14:textId="34B8AE4D" w:rsidR="00A50C92" w:rsidRPr="00250F61"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fallas de oportunidad dentro de su propia red prestadora, lo que compromete la continuidad y resolutividad de la atención de sus afiliados.</w:t>
      </w:r>
      <w:r w:rsidRPr="00A50C92">
        <w:rPr>
          <w:rFonts w:ascii="Arial" w:hAnsi="Arial" w:cs="Arial"/>
          <w:color w:val="000000" w:themeColor="text1"/>
          <w:sz w:val="22"/>
          <w:szCs w:val="22"/>
        </w:rPr>
        <w:t xml:space="preserve"> </w:t>
      </w:r>
      <w:r w:rsidRPr="00250F61">
        <w:rPr>
          <w:rFonts w:ascii="Arial" w:hAnsi="Arial" w:cs="Arial"/>
          <w:color w:val="000000" w:themeColor="text1"/>
          <w:sz w:val="22"/>
          <w:szCs w:val="22"/>
        </w:rPr>
        <w:t xml:space="preserve">En el seguimiento realizado por GAMA se identificaron 8.955 casos de inoportunidad en referencia superiores a 24 horas, de los cuales 199 casos (2,2%) correspondieron a afiliados de COOSALUD EPS. Lo más crítico es que 151 casos (75,9%) se originaron en IPS que sí hacían parte de la red reportada por la EPS, con concentración en USS Simón Bolívar (23,1%), USS Meissen (14,1%) y USS Kennedy (10,1%). Esto significa que, para los afiliados de COOSALUD EPS, una parte sustancial del riesgo de inoportunidad no se explica solo por eventos fuera de red, sino por debilidades operativas dentro de la propia red contratada, lo que puede traducirse en </w:t>
      </w:r>
      <w:r w:rsidRPr="00250F61">
        <w:rPr>
          <w:rFonts w:ascii="Arial" w:hAnsi="Arial" w:cs="Arial"/>
          <w:color w:val="000000" w:themeColor="text1"/>
          <w:sz w:val="22"/>
          <w:szCs w:val="22"/>
        </w:rPr>
        <w:lastRenderedPageBreak/>
        <w:t xml:space="preserve">retraso de remisiones, mayor riesgo clínico, pérdida de oportunidad terapéutica y fragmentación de la atención. </w:t>
      </w:r>
    </w:p>
    <w:p w14:paraId="2ACB87ED" w14:textId="77777777" w:rsidR="00250F61" w:rsidRPr="00250F61" w:rsidRDefault="00250F61" w:rsidP="00250F61">
      <w:pPr>
        <w:pStyle w:val="Prrafodelista"/>
        <w:rPr>
          <w:rFonts w:ascii="Arial" w:hAnsi="Arial" w:cs="Arial"/>
          <w:color w:val="000000" w:themeColor="text1"/>
          <w:sz w:val="22"/>
          <w:szCs w:val="22"/>
        </w:rPr>
      </w:pPr>
    </w:p>
    <w:p w14:paraId="6C74EAF4" w14:textId="55AB2902" w:rsidR="00A50C92" w:rsidRPr="001030B0"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debilidades relevantes en el componente farmacéutico, con efectos directos sobre el acceso a medicamentos y la continuidad de los tratamientos de sus afiliados.</w:t>
      </w:r>
      <w:r w:rsidRPr="00A50C92">
        <w:rPr>
          <w:rFonts w:ascii="Arial" w:hAnsi="Arial" w:cs="Arial"/>
          <w:color w:val="000000" w:themeColor="text1"/>
          <w:sz w:val="22"/>
          <w:szCs w:val="22"/>
        </w:rPr>
        <w:t xml:space="preserve"> </w:t>
      </w:r>
      <w:r w:rsidRPr="001030B0">
        <w:rPr>
          <w:rFonts w:ascii="Arial" w:hAnsi="Arial" w:cs="Arial"/>
          <w:color w:val="000000" w:themeColor="text1"/>
          <w:sz w:val="22"/>
          <w:szCs w:val="22"/>
        </w:rPr>
        <w:t xml:space="preserve">La EPS no remitió la información requerida sobre medicamentos pese a dos solicitudes formales y tampoco la suministró durante la visita administrativa, lo que constituye una restricción importante para la verificación institucional. Adicionalmente, en la verificación de la red farmacéutica se evidenció que en Kennedy un punto no estaba prestando el servicio por no prórroga contractual, y en Suba se identificó atención exclusiva a afiliados de COOSALUD, además de inconsistencias entre la dirección reportada y la verificada en terreno. Para los afiliados de COOSALUD EPS, estas fallas implican riesgo directo de interrupción en tratamientos, menor adherencia terapéutica, barreras para la dispensación oportuna y afectación especial en usuarios con enfermedades crónicas, adultos mayores, niños y gestantes. </w:t>
      </w:r>
    </w:p>
    <w:p w14:paraId="552C65DE" w14:textId="77777777" w:rsidR="001030B0" w:rsidRPr="001030B0" w:rsidRDefault="001030B0" w:rsidP="001030B0">
      <w:pPr>
        <w:pStyle w:val="Prrafodelista"/>
        <w:rPr>
          <w:rFonts w:ascii="Arial" w:hAnsi="Arial" w:cs="Arial"/>
          <w:color w:val="000000" w:themeColor="text1"/>
          <w:sz w:val="22"/>
          <w:szCs w:val="22"/>
        </w:rPr>
      </w:pPr>
    </w:p>
    <w:p w14:paraId="5C66789E" w14:textId="22D9B03B" w:rsid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cerró 2025 con un deterioro financiero estructural que compromete su capacidad para sostener la operación del aseguramiento y garantizar la atención de sus afiliados.</w:t>
      </w:r>
      <w:r w:rsidRPr="00A50C92">
        <w:rPr>
          <w:rFonts w:ascii="Arial" w:hAnsi="Arial" w:cs="Arial"/>
          <w:color w:val="000000" w:themeColor="text1"/>
          <w:sz w:val="22"/>
          <w:szCs w:val="22"/>
        </w:rPr>
        <w:t xml:space="preserve"> </w:t>
      </w:r>
      <w:r w:rsidRPr="00772013">
        <w:rPr>
          <w:rFonts w:ascii="Arial" w:hAnsi="Arial" w:cs="Arial"/>
          <w:color w:val="000000" w:themeColor="text1"/>
          <w:sz w:val="22"/>
          <w:szCs w:val="22"/>
        </w:rPr>
        <w:t xml:space="preserve">Aunque los activos crecieron hasta $2.916.073 millones, este incremento estuvo explicado principalmente por cuentas por cobrar, mientras el efectivo y equivalentes cayó de $601.264 millones en 2021 a $81.326 millones en 2025. En paralelo, los pasivos aumentaron de $902.037 millones a $6.634.187 millones y el patrimonio pasó de $300.431 millones a -$3.718.114 millones. Para los afiliados de COOSALUD EPS, este escenario representa un riesgo cierto sobre la continuidad de la atención, porque reduce la capacidad inmediata de la EPS para responder a obligaciones corrientes, sostener el flujo de recursos y garantizar una red suficiente y funcional en el Distrito Capital. </w:t>
      </w:r>
    </w:p>
    <w:p w14:paraId="1E16AD81" w14:textId="77777777" w:rsidR="00D16EFC" w:rsidRPr="00D16EFC" w:rsidRDefault="00D16EFC" w:rsidP="00D16EFC">
      <w:pPr>
        <w:pStyle w:val="Prrafodelista"/>
        <w:rPr>
          <w:rFonts w:ascii="Arial" w:hAnsi="Arial" w:cs="Arial"/>
          <w:color w:val="000000" w:themeColor="text1"/>
          <w:sz w:val="22"/>
          <w:szCs w:val="22"/>
        </w:rPr>
      </w:pPr>
    </w:p>
    <w:p w14:paraId="032CA25C" w14:textId="7B4C1DA0"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 nivel de sobreendeudamiento y acumulación de obligaciones que constituye una señal de alerta mayor para la sostenibilidad del aseguramiento y la atención de sus afiliados.</w:t>
      </w:r>
      <w:r w:rsidRPr="00A50C92">
        <w:rPr>
          <w:rFonts w:ascii="Arial" w:hAnsi="Arial" w:cs="Arial"/>
          <w:color w:val="000000" w:themeColor="text1"/>
          <w:sz w:val="22"/>
          <w:szCs w:val="22"/>
        </w:rPr>
        <w:t xml:space="preserve"> </w:t>
      </w:r>
      <w:r w:rsidRPr="00D2279F">
        <w:rPr>
          <w:rFonts w:ascii="Arial" w:hAnsi="Arial" w:cs="Arial"/>
          <w:color w:val="000000" w:themeColor="text1"/>
          <w:sz w:val="22"/>
          <w:szCs w:val="22"/>
        </w:rPr>
        <w:t xml:space="preserve">El endeudamiento pasó de 75,02% en 2021 a 227,50% en 2025; las cuentas por pagar crecieron de $356.405 millones a $2.543.908 millones; las reservas técnicas aumentaron de $590.262 millones a </w:t>
      </w:r>
      <w:r w:rsidRPr="00D2279F">
        <w:rPr>
          <w:rFonts w:ascii="Arial" w:hAnsi="Arial" w:cs="Arial"/>
          <w:color w:val="000000" w:themeColor="text1"/>
          <w:sz w:val="22"/>
          <w:szCs w:val="22"/>
        </w:rPr>
        <w:lastRenderedPageBreak/>
        <w:t>$6.513.509 millones; y la siniestralidad cerró diciembre de 2025 en 132,17%, el punto más alto del año. Para los afiliados de COOSALUD EPS, esta combinación implica un riesgo estructural de afectación en el giro oportuno de recursos hacia la red, debilitamiento de la capacidad de respuesta, mayores tensiones con prestadores y probabilidad creciente de que los problemas financieros se traduzcan en barreras concretas de acceso, demoras en la atención y discontinuidad de servicios en Bogotá</w:t>
      </w:r>
      <w:r w:rsidRPr="00A50C92">
        <w:rPr>
          <w:rFonts w:ascii="Arial" w:hAnsi="Arial" w:cs="Arial"/>
          <w:color w:val="000000" w:themeColor="text1"/>
          <w:sz w:val="22"/>
          <w:szCs w:val="22"/>
        </w:rPr>
        <w:t xml:space="preserve"> D. C</w:t>
      </w:r>
    </w:p>
    <w:p w14:paraId="189E76F4" w14:textId="77777777" w:rsidR="00EA3126" w:rsidRPr="006068A2" w:rsidRDefault="00EA3126" w:rsidP="006068A2">
      <w:pPr>
        <w:spacing w:line="360" w:lineRule="auto"/>
        <w:jc w:val="both"/>
        <w:rPr>
          <w:rFonts w:ascii="Arial" w:eastAsia="Arial" w:hAnsi="Arial" w:cs="Arial"/>
          <w:sz w:val="22"/>
          <w:szCs w:val="22"/>
        </w:rPr>
      </w:pPr>
    </w:p>
    <w:p w14:paraId="17025E55" w14:textId="63CA846D" w:rsidR="00F12BBF" w:rsidRPr="006068A2" w:rsidRDefault="00F12BBF" w:rsidP="00912D02">
      <w:pPr>
        <w:pStyle w:val="Ttulo1"/>
        <w:numPr>
          <w:ilvl w:val="0"/>
          <w:numId w:val="9"/>
        </w:numPr>
        <w:spacing w:before="0" w:line="360" w:lineRule="auto"/>
        <w:jc w:val="both"/>
        <w:rPr>
          <w:rFonts w:ascii="Arial" w:hAnsi="Arial" w:cs="Arial"/>
          <w:b/>
          <w:bCs/>
          <w:color w:val="auto"/>
          <w:sz w:val="22"/>
          <w:szCs w:val="22"/>
        </w:rPr>
      </w:pPr>
      <w:bookmarkStart w:id="77" w:name="_Toc229397866"/>
      <w:r w:rsidRPr="006068A2">
        <w:rPr>
          <w:rFonts w:ascii="Arial" w:hAnsi="Arial" w:cs="Arial"/>
          <w:b/>
          <w:bCs/>
          <w:color w:val="auto"/>
          <w:sz w:val="22"/>
          <w:szCs w:val="22"/>
        </w:rPr>
        <w:t>GLOSARIO DE T</w:t>
      </w:r>
      <w:r w:rsidR="001D6300">
        <w:rPr>
          <w:rFonts w:ascii="Arial" w:hAnsi="Arial" w:cs="Arial"/>
          <w:b/>
          <w:bCs/>
          <w:color w:val="auto"/>
          <w:sz w:val="22"/>
          <w:szCs w:val="22"/>
        </w:rPr>
        <w:t>É</w:t>
      </w:r>
      <w:r w:rsidRPr="006068A2">
        <w:rPr>
          <w:rFonts w:ascii="Arial" w:hAnsi="Arial" w:cs="Arial"/>
          <w:b/>
          <w:bCs/>
          <w:color w:val="auto"/>
          <w:sz w:val="22"/>
          <w:szCs w:val="22"/>
        </w:rPr>
        <w:t>RMINOS</w:t>
      </w:r>
      <w:bookmarkEnd w:id="77"/>
    </w:p>
    <w:p w14:paraId="50E992E8" w14:textId="77777777" w:rsidR="00F12BBF" w:rsidRPr="006068A2" w:rsidRDefault="00F12BBF" w:rsidP="006068A2">
      <w:pPr>
        <w:spacing w:line="360" w:lineRule="auto"/>
        <w:jc w:val="both"/>
        <w:rPr>
          <w:rFonts w:ascii="Arial" w:eastAsia="Arial" w:hAnsi="Arial" w:cs="Arial"/>
          <w:b/>
          <w:bCs/>
          <w:sz w:val="22"/>
          <w:szCs w:val="22"/>
        </w:rPr>
      </w:pPr>
    </w:p>
    <w:p w14:paraId="425E71B1"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Activo:</w:t>
      </w:r>
      <w:r w:rsidRPr="001D6300">
        <w:rPr>
          <w:rFonts w:ascii="Arial" w:eastAsia="Arial" w:hAnsi="Arial" w:cs="Arial"/>
          <w:color w:val="0A0A0A"/>
          <w:sz w:val="22"/>
          <w:szCs w:val="22"/>
        </w:rPr>
        <w:t xml:space="preserve"> es cualquier bien, recurso o derecho de propiedad de una entidad (hospital, clínica, EPS) que tiene valor económico, es controlado por la empresa y se espera que genere beneficios económicos o asistenciales futuros.</w:t>
      </w:r>
    </w:p>
    <w:p w14:paraId="3C3C6473"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Activo Corriente:</w:t>
      </w:r>
      <w:r w:rsidRPr="001D6300">
        <w:rPr>
          <w:rFonts w:ascii="Arial" w:eastAsia="Arial" w:hAnsi="Arial" w:cs="Arial"/>
          <w:color w:val="0A0A0A"/>
          <w:sz w:val="22"/>
          <w:szCs w:val="22"/>
        </w:rPr>
        <w:t xml:space="preserve"> en el ámbito financiero-salud son los recursos, bienes o derechos que una empresa (hospital, EPS, IPS) espera convertir en efectivo, vender o consumir en un plazo menor a un año.</w:t>
      </w:r>
    </w:p>
    <w:p w14:paraId="73E65EC0"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Capital Mínimo:</w:t>
      </w:r>
      <w:r w:rsidRPr="001D6300">
        <w:rPr>
          <w:rFonts w:ascii="Arial" w:eastAsia="Arial" w:hAnsi="Arial" w:cs="Arial"/>
          <w:color w:val="0A0A0A"/>
          <w:sz w:val="22"/>
          <w:szCs w:val="22"/>
        </w:rPr>
        <w:t xml:space="preserve"> en el sector salud, según la Superintendencia Nacional de Salud, es el monto base de recursos propios que las EPS deben acreditar para operar, garantizando la solvencia y respaldo de sus obligaciones financieras.</w:t>
      </w:r>
    </w:p>
    <w:p w14:paraId="67CDD6D2"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Capacidad Instalada:</w:t>
      </w:r>
      <w:r w:rsidRPr="001D6300">
        <w:rPr>
          <w:rFonts w:ascii="Arial" w:eastAsia="Arial" w:hAnsi="Arial" w:cs="Arial"/>
          <w:color w:val="0A0A0A"/>
          <w:sz w:val="22"/>
          <w:szCs w:val="22"/>
        </w:rPr>
        <w:t xml:space="preserve"> en salud es el conjunto de recursos físicos, humanos, técnicos y administrativos habilitados en una IPS (Institución Prestadora de Servicios) para brindar atención médica. Define el volumen máximo de servicios —camas, consultas, cirugías— que una institución puede ofrecer en un tiempo determinado.</w:t>
      </w:r>
    </w:p>
    <w:p w14:paraId="5EB725D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Condiciones Financieras:</w:t>
      </w:r>
      <w:r w:rsidRPr="001D6300">
        <w:rPr>
          <w:rFonts w:ascii="Arial" w:eastAsia="Arial" w:hAnsi="Arial" w:cs="Arial"/>
          <w:color w:val="0A0A0A"/>
          <w:sz w:val="22"/>
          <w:szCs w:val="22"/>
        </w:rPr>
        <w:t xml:space="preserve"> en el sector salud, se refieren a los requisitos de solvencia, liquidez, patrimonio y capital mínimo que deben cumplir las entidades aseguradoras (EPS) y prestadoras (IPS) para garantizar la atención a los usuarios y la sostenibilidad del sistema.</w:t>
      </w:r>
    </w:p>
    <w:p w14:paraId="33342E28"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Dispensación de Medicamentos:</w:t>
      </w:r>
      <w:r w:rsidRPr="001D6300">
        <w:rPr>
          <w:rFonts w:ascii="Arial" w:eastAsia="Arial" w:hAnsi="Arial" w:cs="Arial"/>
          <w:color w:val="0A0A0A"/>
          <w:sz w:val="22"/>
          <w:szCs w:val="22"/>
        </w:rPr>
        <w:t xml:space="preserve"> es el acto profesional farmacéutico de entregar uno o más medicamentos a un paciente, generalmente bajo receta médica, que incluye la interpretación de la orden, verificación de idoneidad, preparación, etiquetado y, crucialmente, la asesoría sobre su uso correcto, dosis, interacciones y conservación.</w:t>
      </w:r>
    </w:p>
    <w:p w14:paraId="73DB8813"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EAPB (Empresas Administradoras de Planes de Beneficios):</w:t>
      </w:r>
      <w:r w:rsidRPr="001D6300">
        <w:rPr>
          <w:rFonts w:ascii="Arial" w:eastAsia="Arial" w:hAnsi="Arial" w:cs="Arial"/>
          <w:color w:val="0A0A0A"/>
          <w:sz w:val="22"/>
          <w:szCs w:val="22"/>
        </w:rPr>
        <w:t xml:space="preserve"> es un concepto más amplio que abarca a las EPS, EPS Indígenas, Entidades Adaptadas y Cajas de </w:t>
      </w:r>
      <w:r w:rsidRPr="001D6300">
        <w:rPr>
          <w:rFonts w:ascii="Arial" w:eastAsia="Arial" w:hAnsi="Arial" w:cs="Arial"/>
          <w:color w:val="0A0A0A"/>
          <w:sz w:val="22"/>
          <w:szCs w:val="22"/>
        </w:rPr>
        <w:lastRenderedPageBreak/>
        <w:t>Compensación Familiar que administran los recursos del régimen contributivo y subsidiado.</w:t>
      </w:r>
    </w:p>
    <w:p w14:paraId="48002F0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EPS (Entidad Promotora de Salud):</w:t>
      </w:r>
      <w:r w:rsidRPr="001D6300">
        <w:rPr>
          <w:rFonts w:ascii="Arial" w:eastAsia="Arial" w:hAnsi="Arial" w:cs="Arial"/>
          <w:color w:val="0A0A0A"/>
          <w:sz w:val="22"/>
          <w:szCs w:val="22"/>
        </w:rPr>
        <w:t xml:space="preserve"> es la entidad responsable de afiliar a los usuarios, administrar el riesgo en salud, organizar y garantizar el acceso al Plan de Beneficios en Salud (PBS), gestionar la red de prestadores y administrar los recursos que financian la atención de sus afiliados.</w:t>
      </w:r>
    </w:p>
    <w:p w14:paraId="4A19B9C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Estado Financiero:</w:t>
      </w:r>
      <w:r w:rsidRPr="001D6300">
        <w:rPr>
          <w:rFonts w:ascii="Arial" w:eastAsia="Arial" w:hAnsi="Arial" w:cs="Arial"/>
          <w:color w:val="0A0A0A"/>
          <w:sz w:val="22"/>
          <w:szCs w:val="22"/>
        </w:rPr>
        <w:t xml:space="preserve"> en el sector salud es un informe contable estructurado que refleja la situación económica, patrimonial y la rentabilidad de una entidad médica (hospital, clínica, IPS) en un periodo específico.</w:t>
      </w:r>
    </w:p>
    <w:p w14:paraId="57F9AA2A"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IPS (Institución Prestadora de Servicios de Salud):</w:t>
      </w:r>
      <w:r w:rsidRPr="001D6300">
        <w:rPr>
          <w:rFonts w:ascii="Arial" w:eastAsia="Arial" w:hAnsi="Arial" w:cs="Arial"/>
          <w:color w:val="0A0A0A"/>
          <w:sz w:val="22"/>
          <w:szCs w:val="22"/>
        </w:rPr>
        <w:t xml:space="preserve"> son los prestadores. Son los hospitales, clínicas, laboratorios y consultorios médicos donde los usuarios reciben atención, citas, exámenes y cirugías. Pueden ser públicas o privadas.</w:t>
      </w:r>
    </w:p>
    <w:p w14:paraId="2001EC0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Mortalidad Infantil:</w:t>
      </w:r>
      <w:r w:rsidRPr="001D6300">
        <w:rPr>
          <w:rFonts w:ascii="Arial" w:eastAsia="Arial" w:hAnsi="Arial" w:cs="Arial"/>
          <w:color w:val="0A0A0A"/>
          <w:sz w:val="22"/>
          <w:szCs w:val="22"/>
        </w:rPr>
        <w:t xml:space="preserve"> se refiere a la muerte de niños menores de un año, siendo un indicador clave de salud pública que mide el bienestar general y el acceso a servicios de salud de una población. Generalmente se calcula como la tasa de defunciones por cada 1.000 nacidos vivos, incluyendo la mortalidad neonatal (primeros 28 días).</w:t>
      </w:r>
    </w:p>
    <w:p w14:paraId="04C93339"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Mortalidad Materna:</w:t>
      </w:r>
      <w:r w:rsidRPr="001D6300">
        <w:rPr>
          <w:rFonts w:ascii="Arial" w:eastAsia="Arial" w:hAnsi="Arial" w:cs="Arial"/>
          <w:color w:val="0A0A0A"/>
          <w:sz w:val="22"/>
          <w:szCs w:val="22"/>
        </w:rPr>
        <w:t xml:space="preserve"> es la muerte de una mujer durante el embarazo, el parto o dentro de los 42 días posteriores a la terminación del mismo, por causas relacionadas o agravadas por la gestación o su manejo. Es un indicador crítico de la calidad de salud y la equidad social.</w:t>
      </w:r>
    </w:p>
    <w:p w14:paraId="35BEC14A"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Pasivo:</w:t>
      </w:r>
      <w:r w:rsidRPr="001D6300">
        <w:rPr>
          <w:rFonts w:ascii="Arial" w:eastAsia="Arial" w:hAnsi="Arial" w:cs="Arial"/>
          <w:color w:val="0A0A0A"/>
          <w:sz w:val="22"/>
          <w:szCs w:val="22"/>
        </w:rPr>
        <w:t xml:space="preserve"> representa todas las deudas y obligaciones presentes, como cuentas por pagar a proveedores médicos o salarios.</w:t>
      </w:r>
    </w:p>
    <w:p w14:paraId="7209F478"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Patrimonio:</w:t>
      </w:r>
      <w:r w:rsidRPr="001D6300">
        <w:rPr>
          <w:rFonts w:ascii="Arial" w:eastAsia="Arial" w:hAnsi="Arial" w:cs="Arial"/>
          <w:color w:val="0A0A0A"/>
          <w:sz w:val="22"/>
          <w:szCs w:val="22"/>
        </w:rPr>
        <w:t xml:space="preserve"> es el valor residual de los activos una vez deducidos los pasivos, indicando la inversión de los dueños o el capital neto.</w:t>
      </w:r>
    </w:p>
    <w:p w14:paraId="02F48F77"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Patrimonio Adecuado:</w:t>
      </w:r>
      <w:r w:rsidRPr="001D6300">
        <w:rPr>
          <w:rFonts w:ascii="Arial" w:eastAsia="Arial" w:hAnsi="Arial" w:cs="Arial"/>
          <w:color w:val="0A0A0A"/>
          <w:sz w:val="22"/>
          <w:szCs w:val="22"/>
        </w:rPr>
        <w:t xml:space="preserve"> en el sector financiero de salud es el nivel mínimo de recursos propios que las entidades (como EPS) deben mantener para respaldar sus riesgos, garantizando la solvencia y la prestación de servicios.</w:t>
      </w:r>
    </w:p>
    <w:p w14:paraId="7B30830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PBS (Plan de Beneficios en Salud):</w:t>
      </w:r>
      <w:r w:rsidRPr="001D6300">
        <w:rPr>
          <w:rFonts w:ascii="Arial" w:eastAsia="Arial" w:hAnsi="Arial" w:cs="Arial"/>
          <w:color w:val="0A0A0A"/>
          <w:sz w:val="22"/>
          <w:szCs w:val="22"/>
        </w:rPr>
        <w:t xml:space="preserve"> es el conjunto de servicios y tecnologías en salud financiados con recursos de la Unidad de Pago por Capitación (UPC), al que tienen derecho los afiliados del Sistema General de Seguridad Social en Salud, orientado a la promoción de la salud, la prevención de la enfermedad, el diagnóstico, el tratamiento, la rehabilitación y los cuidados paliativos, de acuerdo con las condiciones y reglas definidas en la normatividad vigente.</w:t>
      </w:r>
    </w:p>
    <w:p w14:paraId="0F2053C2"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lastRenderedPageBreak/>
        <w:t>Razón o Ratio de Endeudamiento:</w:t>
      </w:r>
      <w:r w:rsidRPr="001D6300">
        <w:rPr>
          <w:rFonts w:ascii="Arial" w:eastAsia="Arial" w:hAnsi="Arial" w:cs="Arial"/>
          <w:color w:val="0A0A0A"/>
          <w:sz w:val="22"/>
          <w:szCs w:val="22"/>
        </w:rPr>
        <w:t xml:space="preserve"> en el sector salud es un indicador financiero clave que mide la proporción de la deuda total de una entidad (EPS, IPS, hospital) en relación con sus recursos propios o activos.</w:t>
      </w:r>
    </w:p>
    <w:p w14:paraId="6639EF59"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Red Prestadora de salud:</w:t>
      </w:r>
      <w:r w:rsidRPr="001D6300">
        <w:rPr>
          <w:rFonts w:ascii="Arial" w:eastAsia="Arial" w:hAnsi="Arial" w:cs="Arial"/>
          <w:color w:val="0A0A0A"/>
          <w:sz w:val="22"/>
          <w:szCs w:val="22"/>
        </w:rPr>
        <w:t xml:space="preserve"> es el conjunto articulado y organizado de clínicas, hospitales, laboratorios y médicos (IPS) que tienen contrato con una EPS o aseguradora para brindar servicios de salud a sus afiliados.</w:t>
      </w:r>
    </w:p>
    <w:p w14:paraId="57A01A2C"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Reserva técnica:</w:t>
      </w:r>
      <w:r w:rsidRPr="001D6300">
        <w:rPr>
          <w:rFonts w:ascii="Arial" w:eastAsia="Arial" w:hAnsi="Arial" w:cs="Arial"/>
          <w:color w:val="0A0A0A"/>
          <w:sz w:val="22"/>
          <w:szCs w:val="22"/>
        </w:rPr>
        <w:t xml:space="preserve"> en el sector financiero de la salud es una provisión de dinero exigida a las EPS e IPS para garantizar el pago de servicios médicos ya prestados o autorizados, pero no facturados (</w:t>
      </w:r>
      <w:proofErr w:type="gramStart"/>
      <w:r w:rsidRPr="001D6300">
        <w:rPr>
          <w:rFonts w:ascii="Arial" w:eastAsia="Arial" w:hAnsi="Arial" w:cs="Arial"/>
          <w:color w:val="0A0A0A"/>
          <w:sz w:val="22"/>
          <w:szCs w:val="22"/>
        </w:rPr>
        <w:t>ocurridos</w:t>
      </w:r>
      <w:proofErr w:type="gramEnd"/>
      <w:r w:rsidRPr="001D6300">
        <w:rPr>
          <w:rFonts w:ascii="Arial" w:eastAsia="Arial" w:hAnsi="Arial" w:cs="Arial"/>
          <w:color w:val="0A0A0A"/>
          <w:sz w:val="22"/>
          <w:szCs w:val="22"/>
        </w:rPr>
        <w:t xml:space="preserve"> pero no conocidos).</w:t>
      </w:r>
    </w:p>
    <w:p w14:paraId="3418F8F4"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Régimen Contributivo:</w:t>
      </w:r>
      <w:r w:rsidRPr="001D6300">
        <w:rPr>
          <w:rFonts w:ascii="Arial" w:eastAsia="Arial" w:hAnsi="Arial" w:cs="Arial"/>
          <w:color w:val="0A0A0A"/>
          <w:sz w:val="22"/>
          <w:szCs w:val="22"/>
        </w:rPr>
        <w:t xml:space="preserve"> sistema para personas con capacidad de pago (trabajadores, pensionados).</w:t>
      </w:r>
    </w:p>
    <w:p w14:paraId="3D1382DB"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Régimen Subsidiado:</w:t>
      </w:r>
      <w:r w:rsidRPr="001D6300">
        <w:rPr>
          <w:rFonts w:ascii="Arial" w:eastAsia="Arial" w:hAnsi="Arial" w:cs="Arial"/>
          <w:color w:val="0A0A0A"/>
          <w:sz w:val="22"/>
          <w:szCs w:val="22"/>
        </w:rPr>
        <w:t xml:space="preserve"> sistema para población pobre y vulnerable, financiado por el Estado.</w:t>
      </w:r>
    </w:p>
    <w:p w14:paraId="308FD9B6"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Siniestralidad:</w:t>
      </w:r>
      <w:r w:rsidRPr="001D6300">
        <w:rPr>
          <w:rFonts w:ascii="Arial" w:eastAsia="Arial" w:hAnsi="Arial" w:cs="Arial"/>
          <w:color w:val="0A0A0A"/>
          <w:sz w:val="22"/>
          <w:szCs w:val="22"/>
        </w:rPr>
        <w:t xml:space="preserve"> en el sector financiero de la salud es el indicador que mide la relación entre el costo de los servicios médicos prestados (siniestros) y las primas (ingresos) cobradas por la aseguradora o EPS en un periodo determinado.</w:t>
      </w:r>
    </w:p>
    <w:p w14:paraId="199FDFE7"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Suficiencia de Red en Salud:</w:t>
      </w:r>
      <w:r w:rsidRPr="001D6300">
        <w:rPr>
          <w:rFonts w:ascii="Arial" w:eastAsia="Arial" w:hAnsi="Arial" w:cs="Arial"/>
          <w:color w:val="0A0A0A"/>
          <w:sz w:val="22"/>
          <w:szCs w:val="22"/>
        </w:rPr>
        <w:t xml:space="preserve"> es la capacidad instalada —infraestructura, talento humano, equipos y recursos financieros— que garantiza la prestación oportuna, integral y accesible de servicios médicos a la población adscrita. Mide el equilibrio entre la oferta de servicios y la demanda real para evitar barreras de acceso.</w:t>
      </w:r>
    </w:p>
    <w:p w14:paraId="255D7105" w14:textId="77777777" w:rsidR="001D6300" w:rsidRPr="001D6300" w:rsidRDefault="001D6300" w:rsidP="001D6300">
      <w:pPr>
        <w:spacing w:line="360" w:lineRule="auto"/>
        <w:ind w:left="709" w:hanging="709"/>
        <w:jc w:val="both"/>
        <w:rPr>
          <w:rFonts w:ascii="Arial" w:eastAsia="Arial" w:hAnsi="Arial" w:cs="Arial"/>
          <w:color w:val="0A0A0A"/>
          <w:sz w:val="22"/>
          <w:szCs w:val="22"/>
        </w:rPr>
      </w:pPr>
      <w:r w:rsidRPr="001D6300">
        <w:rPr>
          <w:rFonts w:ascii="Arial" w:eastAsia="Arial" w:hAnsi="Arial" w:cs="Arial"/>
          <w:b/>
          <w:bCs/>
          <w:color w:val="0A0A0A"/>
          <w:sz w:val="22"/>
          <w:szCs w:val="22"/>
        </w:rPr>
        <w:t>UPC:</w:t>
      </w:r>
      <w:r w:rsidRPr="001D6300">
        <w:rPr>
          <w:rFonts w:ascii="Arial" w:eastAsia="Arial" w:hAnsi="Arial" w:cs="Arial"/>
          <w:color w:val="0A0A0A"/>
          <w:sz w:val="22"/>
          <w:szCs w:val="22"/>
        </w:rPr>
        <w:t xml:space="preserve"> Unidad de pago por capitación, es el valor anual que el Estado (a través, de la ADRES) gira a las Entidades Promotoras de Salud (EPS) por cada afiliado.</w:t>
      </w:r>
    </w:p>
    <w:p w14:paraId="0456DEF3" w14:textId="77777777" w:rsidR="00A22098" w:rsidRPr="001D6300" w:rsidRDefault="00A22098" w:rsidP="00A22098">
      <w:pPr>
        <w:spacing w:line="360" w:lineRule="auto"/>
        <w:jc w:val="both"/>
        <w:rPr>
          <w:rFonts w:ascii="Arial" w:eastAsia="Arial" w:hAnsi="Arial" w:cs="Arial"/>
          <w:color w:val="0A0A0A"/>
          <w:sz w:val="22"/>
          <w:szCs w:val="22"/>
        </w:rPr>
      </w:pPr>
    </w:p>
    <w:p w14:paraId="5FFC854C" w14:textId="278E5984" w:rsidR="00A22098" w:rsidRPr="0088735C" w:rsidRDefault="00A22098" w:rsidP="00912D02">
      <w:pPr>
        <w:pStyle w:val="Ttulo1"/>
        <w:numPr>
          <w:ilvl w:val="0"/>
          <w:numId w:val="9"/>
        </w:numPr>
        <w:spacing w:before="0" w:line="360" w:lineRule="auto"/>
        <w:jc w:val="both"/>
        <w:rPr>
          <w:rFonts w:ascii="Arial" w:hAnsi="Arial" w:cs="Arial"/>
          <w:b/>
          <w:bCs/>
          <w:color w:val="auto"/>
          <w:sz w:val="22"/>
          <w:szCs w:val="22"/>
        </w:rPr>
      </w:pPr>
      <w:bookmarkStart w:id="78" w:name="_Toc229397867"/>
      <w:r w:rsidRPr="0088735C">
        <w:rPr>
          <w:rFonts w:ascii="Arial" w:hAnsi="Arial" w:cs="Arial"/>
          <w:b/>
          <w:bCs/>
          <w:color w:val="auto"/>
          <w:sz w:val="22"/>
          <w:szCs w:val="22"/>
        </w:rPr>
        <w:t>REFERENCIAS BIBLIOGRÁFICAS</w:t>
      </w:r>
      <w:bookmarkEnd w:id="78"/>
    </w:p>
    <w:p w14:paraId="130DBC57" w14:textId="77777777" w:rsidR="00A22098" w:rsidRDefault="00A22098" w:rsidP="00A22098">
      <w:pPr>
        <w:spacing w:line="360" w:lineRule="auto"/>
        <w:jc w:val="both"/>
        <w:rPr>
          <w:rFonts w:ascii="Arial" w:eastAsia="Arial" w:hAnsi="Arial" w:cs="Arial"/>
          <w:color w:val="0A0A0A"/>
          <w:sz w:val="22"/>
          <w:szCs w:val="22"/>
          <w:lang w:val="es-ES"/>
        </w:rPr>
      </w:pPr>
    </w:p>
    <w:p w14:paraId="0C2C237A"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Administradora de los Recursos del Sistema General de Seguridad Social en Salud (ADRES). (s. f.). </w:t>
      </w:r>
      <w:r w:rsidRPr="00A22098">
        <w:rPr>
          <w:rFonts w:ascii="Arial" w:eastAsia="Arial" w:hAnsi="Arial" w:cs="Arial"/>
          <w:i/>
          <w:iCs/>
          <w:color w:val="0A0A0A"/>
          <w:sz w:val="22"/>
          <w:szCs w:val="22"/>
        </w:rPr>
        <w:t>Base de Datos Única de Afiliados (BDUA): Consulta de afiliados</w:t>
      </w:r>
      <w:r w:rsidRPr="00A22098">
        <w:rPr>
          <w:rFonts w:ascii="Arial" w:eastAsia="Arial" w:hAnsi="Arial" w:cs="Arial"/>
          <w:color w:val="0A0A0A"/>
          <w:sz w:val="22"/>
          <w:szCs w:val="22"/>
        </w:rPr>
        <w:t xml:space="preserve">. Recuperado el 20 de febrero de 2026, de </w:t>
      </w:r>
      <w:hyperlink r:id="rId42" w:tgtFrame="_new" w:history="1">
        <w:r w:rsidRPr="00A22098">
          <w:rPr>
            <w:rStyle w:val="Hipervnculo"/>
            <w:rFonts w:ascii="Arial" w:eastAsia="Arial" w:hAnsi="Arial" w:cs="Arial"/>
            <w:sz w:val="22"/>
            <w:szCs w:val="22"/>
          </w:rPr>
          <w:t>https://servicios.adres.gov.co/BDUA/Consulta-Afiliados-BDUA</w:t>
        </w:r>
      </w:hyperlink>
      <w:r w:rsidRPr="00A22098">
        <w:rPr>
          <w:rFonts w:ascii="Arial" w:eastAsia="Arial" w:hAnsi="Arial" w:cs="Arial"/>
          <w:color w:val="0A0A0A"/>
          <w:sz w:val="22"/>
          <w:szCs w:val="22"/>
        </w:rPr>
        <w:t xml:space="preserve"> </w:t>
      </w:r>
    </w:p>
    <w:p w14:paraId="1459ACA8"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(1993, 23 de diciembre). </w:t>
      </w:r>
      <w:r w:rsidRPr="00A22098">
        <w:rPr>
          <w:rFonts w:ascii="Arial" w:eastAsia="Arial" w:hAnsi="Arial" w:cs="Arial"/>
          <w:i/>
          <w:iCs/>
          <w:color w:val="0A0A0A"/>
          <w:sz w:val="22"/>
          <w:szCs w:val="22"/>
        </w:rPr>
        <w:t>Ley 100 de 1993: Por la cual se crea el Sistema de Seguridad Social Integral y se dictan otras disposiciones</w:t>
      </w:r>
      <w:r w:rsidRPr="00A22098">
        <w:rPr>
          <w:rFonts w:ascii="Arial" w:eastAsia="Arial" w:hAnsi="Arial" w:cs="Arial"/>
          <w:color w:val="0A0A0A"/>
          <w:sz w:val="22"/>
          <w:szCs w:val="22"/>
        </w:rPr>
        <w:t xml:space="preserve">. </w:t>
      </w:r>
      <w:hyperlink r:id="rId43" w:tgtFrame="_new" w:history="1">
        <w:r w:rsidRPr="00A22098">
          <w:rPr>
            <w:rStyle w:val="Hipervnculo"/>
            <w:rFonts w:ascii="Arial" w:eastAsia="Arial" w:hAnsi="Arial" w:cs="Arial"/>
            <w:sz w:val="22"/>
            <w:szCs w:val="22"/>
          </w:rPr>
          <w:t>https://www.secretariasenado.gov.co/senado/basedoc/ley_0100_1993.html</w:t>
        </w:r>
      </w:hyperlink>
      <w:r w:rsidRPr="00A22098">
        <w:rPr>
          <w:rFonts w:ascii="Arial" w:eastAsia="Arial" w:hAnsi="Arial" w:cs="Arial"/>
          <w:color w:val="0A0A0A"/>
          <w:sz w:val="22"/>
          <w:szCs w:val="22"/>
        </w:rPr>
        <w:t xml:space="preserve"> </w:t>
      </w:r>
    </w:p>
    <w:p w14:paraId="4F41586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Congreso de la República de Colombia. (2001, 21 de diciembre). </w:t>
      </w:r>
      <w:r w:rsidRPr="00A22098">
        <w:rPr>
          <w:rFonts w:ascii="Arial" w:eastAsia="Arial" w:hAnsi="Arial" w:cs="Arial"/>
          <w:i/>
          <w:iCs/>
          <w:color w:val="0A0A0A"/>
          <w:sz w:val="22"/>
          <w:szCs w:val="22"/>
        </w:rPr>
        <w:t>Ley 715 de 2001: Por la cual se dictan normas orgánicas en materia de recursos y competencias</w:t>
      </w:r>
      <w:r w:rsidRPr="00A22098">
        <w:rPr>
          <w:rFonts w:ascii="Arial" w:eastAsia="Arial" w:hAnsi="Arial" w:cs="Arial"/>
          <w:color w:val="0A0A0A"/>
          <w:sz w:val="22"/>
          <w:szCs w:val="22"/>
        </w:rPr>
        <w:t xml:space="preserve">. </w:t>
      </w:r>
      <w:hyperlink r:id="rId44" w:tgtFrame="_new" w:history="1">
        <w:r w:rsidRPr="00A22098">
          <w:rPr>
            <w:rStyle w:val="Hipervnculo"/>
            <w:rFonts w:ascii="Arial" w:eastAsia="Arial" w:hAnsi="Arial" w:cs="Arial"/>
            <w:sz w:val="22"/>
            <w:szCs w:val="22"/>
          </w:rPr>
          <w:t>https://www.secretariasenado.gov.co/senado/basedoc/ley_0715_2001.html</w:t>
        </w:r>
      </w:hyperlink>
      <w:r w:rsidRPr="00A22098">
        <w:rPr>
          <w:rFonts w:ascii="Arial" w:eastAsia="Arial" w:hAnsi="Arial" w:cs="Arial"/>
          <w:color w:val="0A0A0A"/>
          <w:sz w:val="22"/>
          <w:szCs w:val="22"/>
        </w:rPr>
        <w:t xml:space="preserve"> </w:t>
      </w:r>
    </w:p>
    <w:p w14:paraId="18E8A00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(2007, 9 de enero). </w:t>
      </w:r>
      <w:r w:rsidRPr="00A22098">
        <w:rPr>
          <w:rFonts w:ascii="Arial" w:eastAsia="Arial" w:hAnsi="Arial" w:cs="Arial"/>
          <w:i/>
          <w:iCs/>
          <w:color w:val="0A0A0A"/>
          <w:sz w:val="22"/>
          <w:szCs w:val="22"/>
        </w:rPr>
        <w:t>Ley 1122 de 2007: Por la cual se hacen algunas modificaciones en el Sistema General de Seguridad Social en Salud y se dictan otras disposiciones</w:t>
      </w:r>
      <w:r w:rsidRPr="00A22098">
        <w:rPr>
          <w:rFonts w:ascii="Arial" w:eastAsia="Arial" w:hAnsi="Arial" w:cs="Arial"/>
          <w:color w:val="0A0A0A"/>
          <w:sz w:val="22"/>
          <w:szCs w:val="22"/>
        </w:rPr>
        <w:t xml:space="preserve">. </w:t>
      </w:r>
      <w:hyperlink r:id="rId45" w:tgtFrame="_new" w:history="1">
        <w:r w:rsidRPr="00A22098">
          <w:rPr>
            <w:rStyle w:val="Hipervnculo"/>
            <w:rFonts w:ascii="Arial" w:eastAsia="Arial" w:hAnsi="Arial" w:cs="Arial"/>
            <w:sz w:val="22"/>
            <w:szCs w:val="22"/>
          </w:rPr>
          <w:t>https://www.secretariasenado.gov.co/senado/basedoc/ley_1122_2007.html</w:t>
        </w:r>
      </w:hyperlink>
      <w:r w:rsidRPr="00A22098">
        <w:rPr>
          <w:rFonts w:ascii="Arial" w:eastAsia="Arial" w:hAnsi="Arial" w:cs="Arial"/>
          <w:color w:val="0A0A0A"/>
          <w:sz w:val="22"/>
          <w:szCs w:val="22"/>
        </w:rPr>
        <w:t xml:space="preserve"> </w:t>
      </w:r>
    </w:p>
    <w:p w14:paraId="2F4F68F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(2011, 18 de enero). </w:t>
      </w:r>
      <w:r w:rsidRPr="00A22098">
        <w:rPr>
          <w:rFonts w:ascii="Arial" w:eastAsia="Arial" w:hAnsi="Arial" w:cs="Arial"/>
          <w:i/>
          <w:iCs/>
          <w:color w:val="0A0A0A"/>
          <w:sz w:val="22"/>
          <w:szCs w:val="22"/>
        </w:rPr>
        <w:t>Ley 1437 de 2011: Por la cual se expide el Código de Procedimiento Administrativo y de lo Contencioso Administrativo</w:t>
      </w:r>
      <w:r w:rsidRPr="00A22098">
        <w:rPr>
          <w:rFonts w:ascii="Arial" w:eastAsia="Arial" w:hAnsi="Arial" w:cs="Arial"/>
          <w:color w:val="0A0A0A"/>
          <w:sz w:val="22"/>
          <w:szCs w:val="22"/>
        </w:rPr>
        <w:t xml:space="preserve">. </w:t>
      </w:r>
      <w:hyperlink r:id="rId46" w:tgtFrame="_new" w:history="1">
        <w:r w:rsidRPr="00A22098">
          <w:rPr>
            <w:rStyle w:val="Hipervnculo"/>
            <w:rFonts w:ascii="Arial" w:eastAsia="Arial" w:hAnsi="Arial" w:cs="Arial"/>
            <w:sz w:val="22"/>
            <w:szCs w:val="22"/>
          </w:rPr>
          <w:t>https://www.alcaldiabogota.gov.co/sisjur/normas/Norma1.jsp?i=41249</w:t>
        </w:r>
      </w:hyperlink>
      <w:r w:rsidRPr="00A22098">
        <w:rPr>
          <w:rFonts w:ascii="Arial" w:eastAsia="Arial" w:hAnsi="Arial" w:cs="Arial"/>
          <w:color w:val="0A0A0A"/>
          <w:sz w:val="22"/>
          <w:szCs w:val="22"/>
        </w:rPr>
        <w:t xml:space="preserve"> </w:t>
      </w:r>
    </w:p>
    <w:p w14:paraId="147A5EFD"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(2011, 19 de enero). </w:t>
      </w:r>
      <w:r w:rsidRPr="00A22098">
        <w:rPr>
          <w:rFonts w:ascii="Arial" w:eastAsia="Arial" w:hAnsi="Arial" w:cs="Arial"/>
          <w:i/>
          <w:iCs/>
          <w:color w:val="0A0A0A"/>
          <w:sz w:val="22"/>
          <w:szCs w:val="22"/>
        </w:rPr>
        <w:t>Ley 1438 de 2011: Por medio de la cual se reforma el Sistema General de Seguridad Social en Salud y se dictan otras disposiciones</w:t>
      </w:r>
      <w:r w:rsidRPr="00A22098">
        <w:rPr>
          <w:rFonts w:ascii="Arial" w:eastAsia="Arial" w:hAnsi="Arial" w:cs="Arial"/>
          <w:color w:val="0A0A0A"/>
          <w:sz w:val="22"/>
          <w:szCs w:val="22"/>
        </w:rPr>
        <w:t xml:space="preserve">. </w:t>
      </w:r>
      <w:hyperlink r:id="rId47" w:tgtFrame="_new" w:history="1">
        <w:r w:rsidRPr="00A22098">
          <w:rPr>
            <w:rStyle w:val="Hipervnculo"/>
            <w:rFonts w:ascii="Arial" w:eastAsia="Arial" w:hAnsi="Arial" w:cs="Arial"/>
            <w:sz w:val="22"/>
            <w:szCs w:val="22"/>
          </w:rPr>
          <w:t>https://www.secretariasenado.gov.co/senado/basedoc/ley_1438_2011.html</w:t>
        </w:r>
      </w:hyperlink>
      <w:r w:rsidRPr="00A22098">
        <w:rPr>
          <w:rFonts w:ascii="Arial" w:eastAsia="Arial" w:hAnsi="Arial" w:cs="Arial"/>
          <w:color w:val="0A0A0A"/>
          <w:sz w:val="22"/>
          <w:szCs w:val="22"/>
        </w:rPr>
        <w:t xml:space="preserve"> </w:t>
      </w:r>
    </w:p>
    <w:p w14:paraId="359ADD8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16 de febrero). </w:t>
      </w:r>
      <w:r w:rsidRPr="00A22098">
        <w:rPr>
          <w:rFonts w:ascii="Arial" w:eastAsia="Arial" w:hAnsi="Arial" w:cs="Arial"/>
          <w:i/>
          <w:iCs/>
          <w:color w:val="0A0A0A"/>
          <w:sz w:val="22"/>
          <w:szCs w:val="22"/>
        </w:rPr>
        <w:t>Ley Estatutaria 1751 de 2015: Por medio de la cual se regula el derecho fundamental a la salud y se dictan otras disposiciones</w:t>
      </w:r>
      <w:r w:rsidRPr="00A22098">
        <w:rPr>
          <w:rFonts w:ascii="Arial" w:eastAsia="Arial" w:hAnsi="Arial" w:cs="Arial"/>
          <w:color w:val="0A0A0A"/>
          <w:sz w:val="22"/>
          <w:szCs w:val="22"/>
        </w:rPr>
        <w:t xml:space="preserve">. </w:t>
      </w:r>
      <w:hyperlink r:id="rId48" w:tgtFrame="_new" w:history="1">
        <w:r w:rsidRPr="00A22098">
          <w:rPr>
            <w:rStyle w:val="Hipervnculo"/>
            <w:rFonts w:ascii="Arial" w:eastAsia="Arial" w:hAnsi="Arial" w:cs="Arial"/>
            <w:sz w:val="22"/>
            <w:szCs w:val="22"/>
          </w:rPr>
          <w:t>https://www.secretariasenado.gov.co/senado/basedoc/ley_1751_2015.html</w:t>
        </w:r>
      </w:hyperlink>
      <w:r w:rsidRPr="00A22098">
        <w:rPr>
          <w:rFonts w:ascii="Arial" w:eastAsia="Arial" w:hAnsi="Arial" w:cs="Arial"/>
          <w:color w:val="0A0A0A"/>
          <w:sz w:val="22"/>
          <w:szCs w:val="22"/>
        </w:rPr>
        <w:t xml:space="preserve"> </w:t>
      </w:r>
    </w:p>
    <w:p w14:paraId="1131B18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30 de junio). </w:t>
      </w:r>
      <w:r w:rsidRPr="00A22098">
        <w:rPr>
          <w:rFonts w:ascii="Arial" w:eastAsia="Arial" w:hAnsi="Arial" w:cs="Arial"/>
          <w:i/>
          <w:iCs/>
          <w:color w:val="0A0A0A"/>
          <w:sz w:val="22"/>
          <w:szCs w:val="22"/>
        </w:rPr>
        <w:t>Ley 1755 de 2015: Por medio de la cual se regula el derecho fundamental de petición y se sustituye un título del Código de Procedimiento Administrativo y de lo Contencioso Administrativo</w:t>
      </w:r>
      <w:r w:rsidRPr="00A22098">
        <w:rPr>
          <w:rFonts w:ascii="Arial" w:eastAsia="Arial" w:hAnsi="Arial" w:cs="Arial"/>
          <w:color w:val="0A0A0A"/>
          <w:sz w:val="22"/>
          <w:szCs w:val="22"/>
        </w:rPr>
        <w:t xml:space="preserve">. </w:t>
      </w:r>
      <w:hyperlink r:id="rId49" w:tgtFrame="_new" w:history="1">
        <w:r w:rsidRPr="00A22098">
          <w:rPr>
            <w:rStyle w:val="Hipervnculo"/>
            <w:rFonts w:ascii="Arial" w:eastAsia="Arial" w:hAnsi="Arial" w:cs="Arial"/>
            <w:sz w:val="22"/>
            <w:szCs w:val="22"/>
          </w:rPr>
          <w:t>https://www.alcaldiabogota.gov.co/sisjur/normas/Norma1.jsp?i=62152</w:t>
        </w:r>
      </w:hyperlink>
      <w:r w:rsidRPr="00A22098">
        <w:rPr>
          <w:rFonts w:ascii="Arial" w:eastAsia="Arial" w:hAnsi="Arial" w:cs="Arial"/>
          <w:color w:val="0A0A0A"/>
          <w:sz w:val="22"/>
          <w:szCs w:val="22"/>
        </w:rPr>
        <w:t xml:space="preserve"> </w:t>
      </w:r>
    </w:p>
    <w:p w14:paraId="3A7368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Departamento Administrativo Nacional de Estadística (DANE). (s. f.). </w:t>
      </w:r>
      <w:r w:rsidRPr="00A22098">
        <w:rPr>
          <w:rFonts w:ascii="Arial" w:eastAsia="Arial" w:hAnsi="Arial" w:cs="Arial"/>
          <w:i/>
          <w:iCs/>
          <w:color w:val="0A0A0A"/>
          <w:sz w:val="22"/>
          <w:szCs w:val="22"/>
        </w:rPr>
        <w:t>Proyecciones de población: Actualización post COVID-19 (CNPV 2018)</w:t>
      </w:r>
      <w:r w:rsidRPr="00A22098">
        <w:rPr>
          <w:rFonts w:ascii="Arial" w:eastAsia="Arial" w:hAnsi="Arial" w:cs="Arial"/>
          <w:color w:val="0A0A0A"/>
          <w:sz w:val="22"/>
          <w:szCs w:val="22"/>
        </w:rPr>
        <w:t xml:space="preserve">. Recuperado el 20 de febrero de 2026, de </w:t>
      </w:r>
      <w:hyperlink r:id="rId50" w:tgtFrame="_new" w:history="1">
        <w:r w:rsidRPr="00A22098">
          <w:rPr>
            <w:rStyle w:val="Hipervnculo"/>
            <w:rFonts w:ascii="Arial" w:eastAsia="Arial" w:hAnsi="Arial" w:cs="Arial"/>
            <w:sz w:val="22"/>
            <w:szCs w:val="22"/>
          </w:rPr>
          <w:t>https://www.dane.gov.co/index.php/estadisticas-por-tema/demografia-y-poblacion/proyecciones-de-poblacion</w:t>
        </w:r>
      </w:hyperlink>
      <w:r w:rsidRPr="00A22098">
        <w:rPr>
          <w:rFonts w:ascii="Arial" w:eastAsia="Arial" w:hAnsi="Arial" w:cs="Arial"/>
          <w:color w:val="0A0A0A"/>
          <w:sz w:val="22"/>
          <w:szCs w:val="22"/>
        </w:rPr>
        <w:t xml:space="preserve"> </w:t>
      </w:r>
    </w:p>
    <w:p w14:paraId="787ABB4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(2018, 2 de agosto). </w:t>
      </w:r>
      <w:r w:rsidRPr="00A22098">
        <w:rPr>
          <w:rFonts w:ascii="Arial" w:eastAsia="Arial" w:hAnsi="Arial" w:cs="Arial"/>
          <w:i/>
          <w:iCs/>
          <w:color w:val="0A0A0A"/>
          <w:sz w:val="22"/>
          <w:szCs w:val="22"/>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A22098">
        <w:rPr>
          <w:rFonts w:ascii="Arial" w:eastAsia="Arial" w:hAnsi="Arial" w:cs="Arial"/>
          <w:color w:val="0A0A0A"/>
          <w:sz w:val="22"/>
          <w:szCs w:val="22"/>
        </w:rPr>
        <w:t xml:space="preserve">. </w:t>
      </w:r>
      <w:hyperlink r:id="rId51" w:tgtFrame="_new" w:history="1">
        <w:r w:rsidRPr="00A22098">
          <w:rPr>
            <w:rStyle w:val="Hipervnculo"/>
            <w:rFonts w:ascii="Arial" w:eastAsia="Arial" w:hAnsi="Arial" w:cs="Arial"/>
            <w:sz w:val="22"/>
            <w:szCs w:val="22"/>
          </w:rPr>
          <w:t>https://www.minsalud.gov.co/sites/rid/lists/bibliotecadigital/ride/de/dij/resolucion-3280-de-2018.pdf</w:t>
        </w:r>
      </w:hyperlink>
      <w:r w:rsidRPr="00A22098">
        <w:rPr>
          <w:rFonts w:ascii="Arial" w:eastAsia="Arial" w:hAnsi="Arial" w:cs="Arial"/>
          <w:color w:val="0A0A0A"/>
          <w:sz w:val="22"/>
          <w:szCs w:val="22"/>
        </w:rPr>
        <w:t xml:space="preserve"> </w:t>
      </w:r>
    </w:p>
    <w:p w14:paraId="1770434E"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Ministerio de Salud y Protección Social. (s. f.). </w:t>
      </w:r>
      <w:r w:rsidRPr="00A22098">
        <w:rPr>
          <w:rFonts w:ascii="Arial" w:eastAsia="Arial" w:hAnsi="Arial" w:cs="Arial"/>
          <w:i/>
          <w:iCs/>
          <w:color w:val="0A0A0A"/>
          <w:sz w:val="22"/>
          <w:szCs w:val="22"/>
        </w:rPr>
        <w:t>Cifras de afiliación en salud</w:t>
      </w:r>
      <w:r w:rsidRPr="00A22098">
        <w:rPr>
          <w:rFonts w:ascii="Arial" w:eastAsia="Arial" w:hAnsi="Arial" w:cs="Arial"/>
          <w:color w:val="0A0A0A"/>
          <w:sz w:val="22"/>
          <w:szCs w:val="22"/>
        </w:rPr>
        <w:t xml:space="preserve">. Recuperado el 6 de mayo de 2026, de </w:t>
      </w:r>
      <w:hyperlink r:id="rId52" w:tgtFrame="_new" w:history="1">
        <w:r w:rsidRPr="00A22098">
          <w:rPr>
            <w:rStyle w:val="Hipervnculo"/>
            <w:rFonts w:ascii="Arial" w:eastAsia="Arial" w:hAnsi="Arial" w:cs="Arial"/>
            <w:sz w:val="22"/>
            <w:szCs w:val="22"/>
          </w:rPr>
          <w:t>https://www.minsalud.gov.co/proteccionsocial/paginas/cifras-aseguramiento-salud.aspx</w:t>
        </w:r>
      </w:hyperlink>
      <w:r w:rsidRPr="00A22098">
        <w:rPr>
          <w:rFonts w:ascii="Arial" w:eastAsia="Arial" w:hAnsi="Arial" w:cs="Arial"/>
          <w:color w:val="0A0A0A"/>
          <w:sz w:val="22"/>
          <w:szCs w:val="22"/>
        </w:rPr>
        <w:t xml:space="preserve"> </w:t>
      </w:r>
    </w:p>
    <w:p w14:paraId="48D2C20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(s. f.). </w:t>
      </w:r>
      <w:r w:rsidRPr="00A22098">
        <w:rPr>
          <w:rFonts w:ascii="Arial" w:eastAsia="Arial" w:hAnsi="Arial" w:cs="Arial"/>
          <w:i/>
          <w:iCs/>
          <w:color w:val="0A0A0A"/>
          <w:sz w:val="22"/>
          <w:szCs w:val="22"/>
        </w:rPr>
        <w:t>Cifras de aseguramiento en salud</w:t>
      </w:r>
      <w:r w:rsidRPr="00A22098">
        <w:rPr>
          <w:rFonts w:ascii="Arial" w:eastAsia="Arial" w:hAnsi="Arial" w:cs="Arial"/>
          <w:color w:val="0A0A0A"/>
          <w:sz w:val="22"/>
          <w:szCs w:val="22"/>
        </w:rPr>
        <w:t xml:space="preserve"> [tablero de consulta]. Recuperado el 6 de mayo de 2026, de </w:t>
      </w:r>
      <w:hyperlink r:id="rId53" w:tgtFrame="_new" w:history="1">
        <w:r w:rsidRPr="00A22098">
          <w:rPr>
            <w:rStyle w:val="Hipervnculo"/>
            <w:rFonts w:ascii="Arial" w:eastAsia="Arial" w:hAnsi="Arial" w:cs="Arial"/>
            <w:sz w:val="22"/>
            <w:szCs w:val="22"/>
          </w:rPr>
          <w:t>https://public.tableau.com/app/profile/minsaludcol/viz/CifrasAseguramientoenSalud_16166927767750/Aseguramiento</w:t>
        </w:r>
      </w:hyperlink>
      <w:r w:rsidRPr="00A22098">
        <w:rPr>
          <w:rFonts w:ascii="Arial" w:eastAsia="Arial" w:hAnsi="Arial" w:cs="Arial"/>
          <w:color w:val="0A0A0A"/>
          <w:sz w:val="22"/>
          <w:szCs w:val="22"/>
        </w:rPr>
        <w:t xml:space="preserve"> </w:t>
      </w:r>
    </w:p>
    <w:p w14:paraId="586982D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Presidencia de la República de Colombia. (2012, 10 de enero). </w:t>
      </w:r>
      <w:r w:rsidRPr="00A22098">
        <w:rPr>
          <w:rFonts w:ascii="Arial" w:eastAsia="Arial" w:hAnsi="Arial" w:cs="Arial"/>
          <w:i/>
          <w:iCs/>
          <w:color w:val="0A0A0A"/>
          <w:sz w:val="22"/>
          <w:szCs w:val="22"/>
        </w:rPr>
        <w:t>Decreto Ley 019 de 2012: Por el cual se dictan normas para suprimir o reformar regulaciones, procedimientos y trámites innecesarios existentes en la Administración Pública</w:t>
      </w:r>
      <w:r w:rsidRPr="00A22098">
        <w:rPr>
          <w:rFonts w:ascii="Arial" w:eastAsia="Arial" w:hAnsi="Arial" w:cs="Arial"/>
          <w:color w:val="0A0A0A"/>
          <w:sz w:val="22"/>
          <w:szCs w:val="22"/>
        </w:rPr>
        <w:t xml:space="preserve">. </w:t>
      </w:r>
      <w:hyperlink r:id="rId54" w:tgtFrame="_new" w:history="1">
        <w:r w:rsidRPr="00A22098">
          <w:rPr>
            <w:rStyle w:val="Hipervnculo"/>
            <w:rFonts w:ascii="Arial" w:eastAsia="Arial" w:hAnsi="Arial" w:cs="Arial"/>
            <w:sz w:val="22"/>
            <w:szCs w:val="22"/>
          </w:rPr>
          <w:t>https://www.funcionpublica.gov.co/eva/gestornormativo/norma.php?i=45322</w:t>
        </w:r>
      </w:hyperlink>
      <w:r w:rsidRPr="00A22098">
        <w:rPr>
          <w:rFonts w:ascii="Arial" w:eastAsia="Arial" w:hAnsi="Arial" w:cs="Arial"/>
          <w:color w:val="0A0A0A"/>
          <w:sz w:val="22"/>
          <w:szCs w:val="22"/>
        </w:rPr>
        <w:t xml:space="preserve"> </w:t>
      </w:r>
    </w:p>
    <w:p w14:paraId="62CC7FB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Presidencia de la República de Colombia. (2016, 6 de mayo). </w:t>
      </w:r>
      <w:r w:rsidRPr="00A22098">
        <w:rPr>
          <w:rFonts w:ascii="Arial" w:eastAsia="Arial" w:hAnsi="Arial" w:cs="Arial"/>
          <w:i/>
          <w:iCs/>
          <w:color w:val="0A0A0A"/>
          <w:sz w:val="22"/>
          <w:szCs w:val="22"/>
        </w:rPr>
        <w:t>Decreto 780 de 2016: Por medio del cual se expide el Decreto Único Reglamentario del Sector Salud y Protección Social</w:t>
      </w:r>
      <w:r w:rsidRPr="00A22098">
        <w:rPr>
          <w:rFonts w:ascii="Arial" w:eastAsia="Arial" w:hAnsi="Arial" w:cs="Arial"/>
          <w:color w:val="0A0A0A"/>
          <w:sz w:val="22"/>
          <w:szCs w:val="22"/>
        </w:rPr>
        <w:t xml:space="preserve">. </w:t>
      </w:r>
      <w:hyperlink r:id="rId55" w:tgtFrame="_new" w:history="1">
        <w:r w:rsidRPr="00A22098">
          <w:rPr>
            <w:rStyle w:val="Hipervnculo"/>
            <w:rFonts w:ascii="Arial" w:eastAsia="Arial" w:hAnsi="Arial" w:cs="Arial"/>
            <w:sz w:val="22"/>
            <w:szCs w:val="22"/>
          </w:rPr>
          <w:t>https://www.suin-juriscol.gov.co/viewDocument.asp?ruta=Decretos/30021559</w:t>
        </w:r>
      </w:hyperlink>
      <w:r w:rsidRPr="00A22098">
        <w:rPr>
          <w:rFonts w:ascii="Arial" w:eastAsia="Arial" w:hAnsi="Arial" w:cs="Arial"/>
          <w:color w:val="0A0A0A"/>
          <w:sz w:val="22"/>
          <w:szCs w:val="22"/>
        </w:rPr>
        <w:t xml:space="preserve"> </w:t>
      </w:r>
    </w:p>
    <w:p w14:paraId="5A4B752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4 de septiembre). </w:t>
      </w:r>
      <w:r w:rsidRPr="00A22098">
        <w:rPr>
          <w:rFonts w:ascii="Arial" w:eastAsia="Arial" w:hAnsi="Arial" w:cs="Arial"/>
          <w:i/>
          <w:iCs/>
          <w:color w:val="0A0A0A"/>
          <w:sz w:val="22"/>
          <w:szCs w:val="22"/>
        </w:rPr>
        <w:t>Resolución 943 de 2025: Por la cual se establecen acciones para la atención integral y segura de la población en edad fértil, gestantes y recién nacidos</w:t>
      </w:r>
      <w:r w:rsidRPr="00A22098">
        <w:rPr>
          <w:rFonts w:ascii="Arial" w:eastAsia="Arial" w:hAnsi="Arial" w:cs="Arial"/>
          <w:color w:val="0A0A0A"/>
          <w:sz w:val="22"/>
          <w:szCs w:val="22"/>
        </w:rPr>
        <w:t xml:space="preserve">. </w:t>
      </w:r>
      <w:hyperlink r:id="rId56" w:tgtFrame="_new" w:history="1">
        <w:r w:rsidRPr="00A22098">
          <w:rPr>
            <w:rStyle w:val="Hipervnculo"/>
            <w:rFonts w:ascii="Arial" w:eastAsia="Arial" w:hAnsi="Arial" w:cs="Arial"/>
            <w:sz w:val="22"/>
            <w:szCs w:val="22"/>
          </w:rPr>
          <w:t>https://www.alcaldiabogota.gov.co/sisjur/normas/Norma1.jsp?i=190983</w:t>
        </w:r>
      </w:hyperlink>
      <w:r w:rsidRPr="00A22098">
        <w:rPr>
          <w:rFonts w:ascii="Arial" w:eastAsia="Arial" w:hAnsi="Arial" w:cs="Arial"/>
          <w:color w:val="0A0A0A"/>
          <w:sz w:val="22"/>
          <w:szCs w:val="22"/>
        </w:rPr>
        <w:t xml:space="preserve"> </w:t>
      </w:r>
    </w:p>
    <w:p w14:paraId="1BD945F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Aplicativo RUAF-ND. Sistema de Estadísticas Vitales SDS – EEVV preliminares, ajustado a 10-12-2025</w:t>
      </w:r>
      <w:r w:rsidRPr="00A22098">
        <w:rPr>
          <w:rFonts w:ascii="Arial" w:eastAsia="Arial" w:hAnsi="Arial" w:cs="Arial"/>
          <w:color w:val="0A0A0A"/>
          <w:sz w:val="22"/>
          <w:szCs w:val="22"/>
        </w:rPr>
        <w:t xml:space="preserve"> [base de datos administrativa]. </w:t>
      </w:r>
    </w:p>
    <w:p w14:paraId="795CBE9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Bogotá Te Escucha – Dirección de Aseguramiento y Garantía del Derecho a la Salud</w:t>
      </w:r>
      <w:r w:rsidRPr="00A22098">
        <w:rPr>
          <w:rFonts w:ascii="Arial" w:eastAsia="Arial" w:hAnsi="Arial" w:cs="Arial"/>
          <w:color w:val="0A0A0A"/>
          <w:sz w:val="22"/>
          <w:szCs w:val="22"/>
        </w:rPr>
        <w:t xml:space="preserve"> [base administrativa]. </w:t>
      </w:r>
    </w:p>
    <w:p w14:paraId="7608556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Sistema de Información para el Monitoreo del Acceso (SIDMA)</w:t>
      </w:r>
      <w:r w:rsidRPr="00A22098">
        <w:rPr>
          <w:rFonts w:ascii="Arial" w:eastAsia="Arial" w:hAnsi="Arial" w:cs="Arial"/>
          <w:color w:val="0A0A0A"/>
          <w:sz w:val="22"/>
          <w:szCs w:val="22"/>
        </w:rPr>
        <w:t xml:space="preserve"> [base administrativa]. </w:t>
      </w:r>
    </w:p>
    <w:p w14:paraId="38C0892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trazadores de 0 a 5 años. Aplicativo PAI 2.5 SDS. Sistema de Información PAI. Bogotá, enero-diciembre de 2025</w:t>
      </w:r>
      <w:r w:rsidRPr="00A22098">
        <w:rPr>
          <w:rFonts w:ascii="Arial" w:eastAsia="Arial" w:hAnsi="Arial" w:cs="Arial"/>
          <w:color w:val="0A0A0A"/>
          <w:sz w:val="22"/>
          <w:szCs w:val="22"/>
        </w:rPr>
        <w:t xml:space="preserve">. </w:t>
      </w:r>
    </w:p>
    <w:p w14:paraId="4D5ACDC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VPH de niños y niñas de 9 años. Aplicativo PAI 2.5 SDS. Sistema de Información PAI. Bogotá, enero-diciembre de 2025</w:t>
      </w:r>
      <w:r w:rsidRPr="00A22098">
        <w:rPr>
          <w:rFonts w:ascii="Arial" w:eastAsia="Arial" w:hAnsi="Arial" w:cs="Arial"/>
          <w:color w:val="0A0A0A"/>
          <w:sz w:val="22"/>
          <w:szCs w:val="22"/>
        </w:rPr>
        <w:t xml:space="preserve">. </w:t>
      </w:r>
    </w:p>
    <w:p w14:paraId="2F9503A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Secretaría Distrital de Salud de Bogotá, D. C. (2025). </w:t>
      </w:r>
      <w:r w:rsidRPr="00A22098">
        <w:rPr>
          <w:rFonts w:ascii="Arial" w:eastAsia="Arial" w:hAnsi="Arial" w:cs="Arial"/>
          <w:i/>
          <w:iCs/>
          <w:color w:val="0A0A0A"/>
          <w:sz w:val="22"/>
          <w:szCs w:val="22"/>
        </w:rPr>
        <w:t>Tablero de control para vacunación influenza abril-diciembre de 2025. Aplicativo PAI 2.5 SDS. Sistema de Información PAI. Bogotá, abril-diciembre de 2025</w:t>
      </w:r>
      <w:r w:rsidRPr="00A22098">
        <w:rPr>
          <w:rFonts w:ascii="Arial" w:eastAsia="Arial" w:hAnsi="Arial" w:cs="Arial"/>
          <w:color w:val="0A0A0A"/>
          <w:sz w:val="22"/>
          <w:szCs w:val="22"/>
        </w:rPr>
        <w:t xml:space="preserve">. </w:t>
      </w:r>
    </w:p>
    <w:p w14:paraId="02B974D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(2026, 16 de marzo). </w:t>
      </w:r>
      <w:r w:rsidRPr="00A22098">
        <w:rPr>
          <w:rFonts w:ascii="Arial" w:eastAsia="Arial" w:hAnsi="Arial" w:cs="Arial"/>
          <w:i/>
          <w:iCs/>
          <w:color w:val="0A0A0A"/>
          <w:sz w:val="22"/>
          <w:szCs w:val="22"/>
        </w:rPr>
        <w:t>Informe de seguimiento al cumplimiento de coberturas de vacunación del Programa Ampliado de Inmunizaciones (PAI), Bogotá. Año 2025. EAPB Coosalud</w:t>
      </w:r>
      <w:r w:rsidRPr="00A22098">
        <w:rPr>
          <w:rFonts w:ascii="Arial" w:eastAsia="Arial" w:hAnsi="Arial" w:cs="Arial"/>
          <w:color w:val="0A0A0A"/>
          <w:sz w:val="22"/>
          <w:szCs w:val="22"/>
        </w:rPr>
        <w:t xml:space="preserve"> (Radicado 2026-EE-25421). </w:t>
      </w:r>
    </w:p>
    <w:p w14:paraId="1FC3E9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(2026). </w:t>
      </w:r>
      <w:r w:rsidRPr="00A22098">
        <w:rPr>
          <w:rFonts w:ascii="Arial" w:eastAsia="Arial" w:hAnsi="Arial" w:cs="Arial"/>
          <w:i/>
          <w:iCs/>
          <w:color w:val="0A0A0A"/>
          <w:sz w:val="22"/>
          <w:szCs w:val="22"/>
        </w:rPr>
        <w:t>Reporte de Google Forms del número de casos especiales detectados por GAMA (27/05/2025 - 31/01/2026)</w:t>
      </w:r>
      <w:r w:rsidRPr="00A22098">
        <w:rPr>
          <w:rFonts w:ascii="Arial" w:eastAsia="Arial" w:hAnsi="Arial" w:cs="Arial"/>
          <w:color w:val="0A0A0A"/>
          <w:sz w:val="22"/>
          <w:szCs w:val="22"/>
        </w:rPr>
        <w:t xml:space="preserve"> [reporte administrativo interno]. El documento usa este insumo para el análisis de red prestadora y capacidad instalada. </w:t>
      </w:r>
    </w:p>
    <w:p w14:paraId="39DF7AA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(s. f.). </w:t>
      </w:r>
      <w:r w:rsidRPr="00A22098">
        <w:rPr>
          <w:rFonts w:ascii="Arial" w:eastAsia="Arial" w:hAnsi="Arial" w:cs="Arial"/>
          <w:i/>
          <w:iCs/>
          <w:color w:val="0A0A0A"/>
          <w:sz w:val="22"/>
          <w:szCs w:val="22"/>
        </w:rPr>
        <w:t>Dirección de Coordinación y Regulación de Urgencias y Emergencias (DCRUE): Información CRUE</w:t>
      </w:r>
      <w:r w:rsidRPr="00A22098">
        <w:rPr>
          <w:rFonts w:ascii="Arial" w:eastAsia="Arial" w:hAnsi="Arial" w:cs="Arial"/>
          <w:color w:val="0A0A0A"/>
          <w:sz w:val="22"/>
          <w:szCs w:val="22"/>
        </w:rPr>
        <w:t xml:space="preserve">. </w:t>
      </w:r>
      <w:hyperlink r:id="rId57" w:tgtFrame="_new" w:history="1">
        <w:r w:rsidRPr="00A22098">
          <w:rPr>
            <w:rStyle w:val="Hipervnculo"/>
            <w:rFonts w:ascii="Arial" w:eastAsia="Arial" w:hAnsi="Arial" w:cs="Arial"/>
            <w:sz w:val="22"/>
            <w:szCs w:val="22"/>
          </w:rPr>
          <w:t>https://www.saludcapital.gov.co/DCRUE/paginas/informacion_crue.aspx</w:t>
        </w:r>
      </w:hyperlink>
      <w:r w:rsidRPr="00A22098">
        <w:rPr>
          <w:rFonts w:ascii="Arial" w:eastAsia="Arial" w:hAnsi="Arial" w:cs="Arial"/>
          <w:color w:val="0A0A0A"/>
          <w:sz w:val="22"/>
          <w:szCs w:val="22"/>
        </w:rPr>
        <w:t xml:space="preserve"> </w:t>
      </w:r>
    </w:p>
    <w:p w14:paraId="4D70568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(s. f.). </w:t>
      </w:r>
      <w:r w:rsidRPr="00A22098">
        <w:rPr>
          <w:rFonts w:ascii="Arial" w:eastAsia="Arial" w:hAnsi="Arial" w:cs="Arial"/>
          <w:i/>
          <w:iCs/>
          <w:color w:val="0A0A0A"/>
          <w:sz w:val="22"/>
          <w:szCs w:val="22"/>
        </w:rPr>
        <w:t>Portal institucional de noticias y documentos técnicos sobre monitoreo y gestión de la atención en salud</w:t>
      </w:r>
      <w:r w:rsidRPr="00A22098">
        <w:rPr>
          <w:rFonts w:ascii="Arial" w:eastAsia="Arial" w:hAnsi="Arial" w:cs="Arial"/>
          <w:color w:val="0A0A0A"/>
          <w:sz w:val="22"/>
          <w:szCs w:val="22"/>
        </w:rPr>
        <w:t xml:space="preserve">. </w:t>
      </w:r>
      <w:hyperlink r:id="rId58" w:tgtFrame="_new" w:history="1">
        <w:r w:rsidRPr="00A22098">
          <w:rPr>
            <w:rStyle w:val="Hipervnculo"/>
            <w:rFonts w:ascii="Arial" w:eastAsia="Arial" w:hAnsi="Arial" w:cs="Arial"/>
            <w:sz w:val="22"/>
            <w:szCs w:val="22"/>
          </w:rPr>
          <w:t>https://www.saludcapital.gov.co/Paginas2/Noticia_Portal_Detalle.aspx?IP=2507</w:t>
        </w:r>
      </w:hyperlink>
      <w:r w:rsidRPr="00A22098">
        <w:rPr>
          <w:rFonts w:ascii="Arial" w:eastAsia="Arial" w:hAnsi="Arial" w:cs="Arial"/>
          <w:color w:val="0A0A0A"/>
          <w:sz w:val="22"/>
          <w:szCs w:val="22"/>
        </w:rPr>
        <w:t xml:space="preserve"> </w:t>
      </w:r>
    </w:p>
    <w:p w14:paraId="69B3F29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(2020). </w:t>
      </w:r>
      <w:r w:rsidRPr="00A22098">
        <w:rPr>
          <w:rFonts w:ascii="Arial" w:eastAsia="Arial" w:hAnsi="Arial" w:cs="Arial"/>
          <w:i/>
          <w:iCs/>
          <w:color w:val="0A0A0A"/>
          <w:sz w:val="22"/>
          <w:szCs w:val="22"/>
        </w:rPr>
        <w:t>Circular 001 de 2020</w:t>
      </w:r>
      <w:r w:rsidRPr="00A22098">
        <w:rPr>
          <w:rFonts w:ascii="Arial" w:eastAsia="Arial" w:hAnsi="Arial" w:cs="Arial"/>
          <w:color w:val="0A0A0A"/>
          <w:sz w:val="22"/>
          <w:szCs w:val="22"/>
        </w:rPr>
        <w:t xml:space="preserve">. [Referencia normativa citada en auditoría GAUDI]. </w:t>
      </w:r>
    </w:p>
    <w:p w14:paraId="376EBFF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(2022). </w:t>
      </w:r>
      <w:r w:rsidRPr="00A22098">
        <w:rPr>
          <w:rFonts w:ascii="Arial" w:eastAsia="Arial" w:hAnsi="Arial" w:cs="Arial"/>
          <w:i/>
          <w:iCs/>
          <w:color w:val="0A0A0A"/>
          <w:sz w:val="22"/>
          <w:szCs w:val="22"/>
        </w:rPr>
        <w:t>Circular 046-5 de 2022</w:t>
      </w:r>
      <w:r w:rsidRPr="00A22098">
        <w:rPr>
          <w:rFonts w:ascii="Arial" w:eastAsia="Arial" w:hAnsi="Arial" w:cs="Arial"/>
          <w:color w:val="0A0A0A"/>
          <w:sz w:val="22"/>
          <w:szCs w:val="22"/>
        </w:rPr>
        <w:t xml:space="preserve">. [Referencia normativa citada en auditoría GAUDI]. </w:t>
      </w:r>
    </w:p>
    <w:p w14:paraId="2EC6F4D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(2023, 22 de junio). </w:t>
      </w:r>
      <w:r w:rsidRPr="00A22098">
        <w:rPr>
          <w:rFonts w:ascii="Arial" w:eastAsia="Arial" w:hAnsi="Arial" w:cs="Arial"/>
          <w:i/>
          <w:iCs/>
          <w:color w:val="0A0A0A"/>
          <w:sz w:val="22"/>
          <w:szCs w:val="22"/>
        </w:rPr>
        <w:t>Circular Externa 2023151000000010-5: Por la cual se modifican los términos para resolver los reclamos en salud</w:t>
      </w:r>
      <w:r w:rsidRPr="00A22098">
        <w:rPr>
          <w:rFonts w:ascii="Arial" w:eastAsia="Arial" w:hAnsi="Arial" w:cs="Arial"/>
          <w:color w:val="0A0A0A"/>
          <w:sz w:val="22"/>
          <w:szCs w:val="22"/>
        </w:rPr>
        <w:t xml:space="preserve">. </w:t>
      </w:r>
      <w:hyperlink r:id="rId59" w:tgtFrame="_new" w:history="1">
        <w:r w:rsidRPr="00A22098">
          <w:rPr>
            <w:rStyle w:val="Hipervnculo"/>
            <w:rFonts w:ascii="Arial" w:eastAsia="Arial" w:hAnsi="Arial" w:cs="Arial"/>
            <w:sz w:val="22"/>
            <w:szCs w:val="22"/>
          </w:rPr>
          <w:t>https://www.alcaldiabogota.gov.co/sisjur/normas/Norma1.jsp?i=143808</w:t>
        </w:r>
      </w:hyperlink>
      <w:r w:rsidRPr="00A22098">
        <w:rPr>
          <w:rFonts w:ascii="Arial" w:eastAsia="Arial" w:hAnsi="Arial" w:cs="Arial"/>
          <w:color w:val="0A0A0A"/>
          <w:sz w:val="22"/>
          <w:szCs w:val="22"/>
        </w:rPr>
        <w:t xml:space="preserve"> </w:t>
      </w:r>
    </w:p>
    <w:p w14:paraId="21AAD57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Abecé reporte PQRD / reclamos en salud</w:t>
      </w:r>
      <w:r w:rsidRPr="00A22098">
        <w:rPr>
          <w:rFonts w:ascii="Arial" w:eastAsia="Arial" w:hAnsi="Arial" w:cs="Arial"/>
          <w:color w:val="0A0A0A"/>
          <w:sz w:val="22"/>
          <w:szCs w:val="22"/>
        </w:rPr>
        <w:t xml:space="preserve"> [documento metodológico]. Recuperado el 23 de febrero de 2026, de </w:t>
      </w:r>
      <w:hyperlink r:id="rId60" w:tgtFrame="_new" w:history="1">
        <w:r w:rsidRPr="00A22098">
          <w:rPr>
            <w:rStyle w:val="Hipervnculo"/>
            <w:rFonts w:ascii="Arial" w:eastAsia="Arial" w:hAnsi="Arial" w:cs="Arial"/>
            <w:sz w:val="22"/>
            <w:szCs w:val="22"/>
          </w:rPr>
          <w:t>https://docs.supersalud.gov.co/PortalWeb/metodologias/OtrosDocumentosMetodologias/Abec%C3%A9%20reporte%20PQRD.pdf</w:t>
        </w:r>
      </w:hyperlink>
      <w:r w:rsidRPr="00A22098">
        <w:rPr>
          <w:rFonts w:ascii="Arial" w:eastAsia="Arial" w:hAnsi="Arial" w:cs="Arial"/>
          <w:color w:val="0A0A0A"/>
          <w:sz w:val="22"/>
          <w:szCs w:val="22"/>
        </w:rPr>
        <w:t xml:space="preserve"> </w:t>
      </w:r>
    </w:p>
    <w:p w14:paraId="31CBDA0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Reclamos en salud por EPS – Histórico nacional</w:t>
      </w:r>
      <w:r w:rsidRPr="00A22098">
        <w:rPr>
          <w:rFonts w:ascii="Arial" w:eastAsia="Arial" w:hAnsi="Arial" w:cs="Arial"/>
          <w:color w:val="0A0A0A"/>
          <w:sz w:val="22"/>
          <w:szCs w:val="22"/>
        </w:rPr>
        <w:t xml:space="preserve"> [tablero de consulta]. Recuperado el 5 de mayo de 2026, de </w:t>
      </w:r>
      <w:hyperlink r:id="rId61" w:tgtFrame="_new" w:history="1">
        <w:r w:rsidRPr="00A22098">
          <w:rPr>
            <w:rStyle w:val="Hipervnculo"/>
            <w:rFonts w:ascii="Arial" w:eastAsia="Arial" w:hAnsi="Arial" w:cs="Arial"/>
            <w:sz w:val="22"/>
            <w:szCs w:val="22"/>
          </w:rPr>
          <w:t>https://app.powerbi.com/view?r=eyJrIjoiYTMwY2Y4ZjEtNWI0MC00YjAxLThjOGUtMjdiYWZhZjVlZjgzIiwidCI6IjE3YzQwYzUxLWIxZGYtNGUyNS04Y2Q2LTlkMGQyNjc4ODMwMCIsImMiOjR9&amp;disablecdnExpiration=1774397302</w:t>
        </w:r>
      </w:hyperlink>
      <w:r w:rsidRPr="00A22098">
        <w:rPr>
          <w:rFonts w:ascii="Arial" w:eastAsia="Arial" w:hAnsi="Arial" w:cs="Arial"/>
          <w:color w:val="0A0A0A"/>
          <w:sz w:val="22"/>
          <w:szCs w:val="22"/>
        </w:rPr>
        <w:t xml:space="preserve"> </w:t>
      </w:r>
    </w:p>
    <w:p w14:paraId="7478D17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Superintendencia Nacional de Salud. (2025). </w:t>
      </w:r>
      <w:r w:rsidRPr="00A22098">
        <w:rPr>
          <w:rFonts w:ascii="Arial" w:eastAsia="Arial" w:hAnsi="Arial" w:cs="Arial"/>
          <w:i/>
          <w:iCs/>
          <w:color w:val="0A0A0A"/>
          <w:sz w:val="22"/>
          <w:szCs w:val="22"/>
        </w:rPr>
        <w:t>Catálogo de información financiera EPS del régimen contributivo y subsidiado consolidado a diciembre de 2025</w:t>
      </w:r>
      <w:r w:rsidRPr="00A22098">
        <w:rPr>
          <w:rFonts w:ascii="Arial" w:eastAsia="Arial" w:hAnsi="Arial" w:cs="Arial"/>
          <w:color w:val="0A0A0A"/>
          <w:sz w:val="22"/>
          <w:szCs w:val="22"/>
        </w:rPr>
        <w:t xml:space="preserve"> [portal de datos abiertos]. </w:t>
      </w:r>
      <w:hyperlink r:id="rId62" w:anchor="/datos-abiertos/documents/760d95890d79460da9715b83b9d27933/about" w:tgtFrame="_new" w:history="1">
        <w:r w:rsidRPr="00A22098">
          <w:rPr>
            <w:rStyle w:val="Hipervnculo"/>
            <w:rFonts w:ascii="Arial" w:eastAsia="Arial" w:hAnsi="Arial" w:cs="Arial"/>
            <w:sz w:val="22"/>
            <w:szCs w:val="22"/>
          </w:rPr>
          <w:t>https://mapas.supersalud.gov.co/arcgisportal/apps/sites/#/datos-abiertos/documents/760d95890d79460da9715b83b9d27933/about</w:t>
        </w:r>
      </w:hyperlink>
      <w:r w:rsidRPr="00A22098">
        <w:rPr>
          <w:rFonts w:ascii="Arial" w:eastAsia="Arial" w:hAnsi="Arial" w:cs="Arial"/>
          <w:color w:val="0A0A0A"/>
          <w:sz w:val="22"/>
          <w:szCs w:val="22"/>
        </w:rPr>
        <w:t xml:space="preserve"> </w:t>
      </w:r>
    </w:p>
    <w:p w14:paraId="5A0839D6" w14:textId="471C1A9F"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COOSALUD EPS. (2021-202</w:t>
      </w:r>
      <w:r w:rsidR="00D60CB9">
        <w:rPr>
          <w:rFonts w:ascii="Arial" w:eastAsia="Arial" w:hAnsi="Arial" w:cs="Arial"/>
          <w:color w:val="0A0A0A"/>
          <w:sz w:val="22"/>
          <w:szCs w:val="22"/>
        </w:rPr>
        <w:t>4</w:t>
      </w:r>
      <w:r w:rsidRPr="00A22098">
        <w:rPr>
          <w:rFonts w:ascii="Arial" w:eastAsia="Arial" w:hAnsi="Arial" w:cs="Arial"/>
          <w:color w:val="0A0A0A"/>
          <w:sz w:val="22"/>
          <w:szCs w:val="22"/>
        </w:rPr>
        <w:t xml:space="preserve">). </w:t>
      </w:r>
      <w:r w:rsidRPr="00A22098">
        <w:rPr>
          <w:rFonts w:ascii="Arial" w:eastAsia="Arial" w:hAnsi="Arial" w:cs="Arial"/>
          <w:i/>
          <w:iCs/>
          <w:color w:val="0A0A0A"/>
          <w:sz w:val="22"/>
          <w:szCs w:val="22"/>
        </w:rPr>
        <w:t>Estados financieros auditados de la entidad</w:t>
      </w:r>
      <w:r w:rsidRPr="00A22098">
        <w:rPr>
          <w:rFonts w:ascii="Arial" w:eastAsia="Arial" w:hAnsi="Arial" w:cs="Arial"/>
          <w:color w:val="0A0A0A"/>
          <w:sz w:val="22"/>
          <w:szCs w:val="22"/>
        </w:rPr>
        <w:t xml:space="preserve"> [documentos de soporte para análisis financiero].</w:t>
      </w:r>
    </w:p>
    <w:p w14:paraId="089FB9C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COOSALUD EPS. (2026). </w:t>
      </w:r>
      <w:r w:rsidRPr="00A22098">
        <w:rPr>
          <w:rFonts w:ascii="Arial" w:eastAsia="Arial" w:hAnsi="Arial" w:cs="Arial"/>
          <w:i/>
          <w:iCs/>
          <w:color w:val="0A0A0A"/>
          <w:sz w:val="22"/>
          <w:szCs w:val="22"/>
        </w:rPr>
        <w:t>Información reportada a la Secretaría Distrital de Salud en el marco de requerimientos, auditorías IVS, visita administrativa y verificación de red farmacéutica</w:t>
      </w:r>
      <w:r w:rsidRPr="00A22098">
        <w:rPr>
          <w:rFonts w:ascii="Arial" w:eastAsia="Arial" w:hAnsi="Arial" w:cs="Arial"/>
          <w:color w:val="0A0A0A"/>
          <w:sz w:val="22"/>
          <w:szCs w:val="22"/>
        </w:rPr>
        <w:t xml:space="preserve"> [soportes institucionales y reportes de la entidad].</w:t>
      </w:r>
    </w:p>
    <w:sectPr w:rsidR="00A22098" w:rsidRPr="00A22098" w:rsidSect="00BA26E9">
      <w:headerReference w:type="default" r:id="rId63"/>
      <w:pgSz w:w="12240" w:h="15840"/>
      <w:pgMar w:top="1418" w:right="1701" w:bottom="1418"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8A39C" w14:textId="77777777" w:rsidR="005F6E23" w:rsidRDefault="005F6E23">
      <w:r>
        <w:separator/>
      </w:r>
    </w:p>
  </w:endnote>
  <w:endnote w:type="continuationSeparator" w:id="0">
    <w:p w14:paraId="601BCBD8" w14:textId="77777777" w:rsidR="005F6E23" w:rsidRDefault="005F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60C8E" w14:textId="77777777" w:rsidR="005F6E23" w:rsidRDefault="005F6E23">
      <w:r>
        <w:separator/>
      </w:r>
    </w:p>
  </w:footnote>
  <w:footnote w:type="continuationSeparator" w:id="0">
    <w:p w14:paraId="75C57CCC" w14:textId="77777777" w:rsidR="005F6E23" w:rsidRDefault="005F6E23">
      <w:r>
        <w:continuationSeparator/>
      </w:r>
    </w:p>
  </w:footnote>
  <w:footnote w:id="1">
    <w:p w14:paraId="57F19647" w14:textId="77777777" w:rsidR="005D62BA" w:rsidRPr="000D2714" w:rsidRDefault="005D62BA" w:rsidP="005D62BA">
      <w:pPr>
        <w:pStyle w:val="Textonotapie"/>
        <w:spacing w:line="360" w:lineRule="auto"/>
        <w:jc w:val="both"/>
        <w:rPr>
          <w:rFonts w:ascii="Arial" w:hAnsi="Arial" w:cs="Arial"/>
          <w:sz w:val="16"/>
          <w:szCs w:val="16"/>
          <w:lang w:val="es-ES"/>
        </w:rPr>
      </w:pPr>
      <w:r w:rsidRPr="000D2714">
        <w:rPr>
          <w:rStyle w:val="Refdenotaalpie"/>
          <w:rFonts w:ascii="Arial" w:hAnsi="Arial" w:cs="Arial"/>
          <w:sz w:val="16"/>
          <w:szCs w:val="16"/>
        </w:rPr>
        <w:footnoteRef/>
      </w:r>
      <w:r w:rsidRPr="000D2714">
        <w:rPr>
          <w:rFonts w:ascii="Arial" w:hAnsi="Arial" w:cs="Arial"/>
          <w:sz w:val="16"/>
          <w:szCs w:val="16"/>
        </w:rPr>
        <w:t xml:space="preserve"> Las acciones de IVS se desarrollan principalmente mediante auditorías técnicas sustentadas en hallazgos y observaciones de carácter crítico y constructivo, que permiten evaluar el desempeño de las EAPB frente a la organización y garantía de la red, la calidad de los servicios contratados y la capacidad de respuesta a las necesidades de la población afiliada. Asimismo, dichas auditorías contribuyen a consolidar evidencias para la formulación de medidas de mejora y planes de acción, promoviendo el uso adecuado, eficiente y transparente de los recursos, de acuerdo con la normatividad vigente y con los resultados esperados en salud.</w:t>
      </w:r>
    </w:p>
  </w:footnote>
  <w:footnote w:id="2">
    <w:p w14:paraId="6A1F006D" w14:textId="77777777" w:rsidR="005D62BA" w:rsidRPr="003541C4" w:rsidRDefault="005D62BA" w:rsidP="005D62BA">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3">
    <w:p w14:paraId="28C95ACD" w14:textId="0E76190A" w:rsidR="00DB34A9" w:rsidRPr="00DB34A9" w:rsidRDefault="00DB34A9" w:rsidP="00DB34A9">
      <w:pPr>
        <w:pStyle w:val="Textonotapie"/>
        <w:spacing w:line="360" w:lineRule="auto"/>
        <w:jc w:val="both"/>
        <w:rPr>
          <w:rFonts w:ascii="Arial" w:hAnsi="Arial" w:cs="Arial"/>
          <w:sz w:val="16"/>
          <w:szCs w:val="16"/>
        </w:rPr>
      </w:pPr>
      <w:r w:rsidRPr="00DB34A9">
        <w:rPr>
          <w:rStyle w:val="Refdenotaalpie"/>
          <w:rFonts w:ascii="Arial" w:hAnsi="Arial" w:cs="Arial"/>
          <w:sz w:val="16"/>
          <w:szCs w:val="16"/>
        </w:rPr>
        <w:footnoteRef/>
      </w:r>
      <w:r w:rsidRPr="00DB34A9">
        <w:rPr>
          <w:rFonts w:ascii="Arial" w:hAnsi="Arial" w:cs="Arial"/>
          <w:sz w:val="16"/>
          <w:szCs w:val="16"/>
        </w:rPr>
        <w:t xml:space="preserve"> El total de afiliados reportado para Bogotá D. C. en 2025 (8.021.580) frente a la proyección poblacional del DANE (7.937.898) corresponde a una cobertura aproximada de 101,1%, es decir, superior al 100%. Este comportamiento puede obedecer a dinámicas del sistema de aseguramiento, como afiliaciones múltiples, fenómenos migratorios, movilidad entre territorios y diferencias en los procesos de actualización y depuración de las bases administrativas.</w:t>
      </w:r>
    </w:p>
  </w:footnote>
  <w:footnote w:id="4">
    <w:p w14:paraId="42603F3F" w14:textId="77777777" w:rsidR="005D62BA" w:rsidRPr="007228BA" w:rsidRDefault="005D62BA" w:rsidP="005D62BA">
      <w:pPr>
        <w:pStyle w:val="Textonotapie"/>
        <w:spacing w:line="360" w:lineRule="auto"/>
        <w:jc w:val="both"/>
        <w:rPr>
          <w:rFonts w:ascii="Arial" w:hAnsi="Arial" w:cs="Arial"/>
        </w:rPr>
      </w:pPr>
      <w:r w:rsidRPr="007228BA">
        <w:rPr>
          <w:rStyle w:val="Refdenotaalpie"/>
          <w:rFonts w:ascii="Arial" w:hAnsi="Arial" w:cs="Arial"/>
          <w:sz w:val="16"/>
          <w:szCs w:val="16"/>
        </w:rPr>
        <w:footnoteRef/>
      </w:r>
      <w:r w:rsidRPr="007228BA">
        <w:rPr>
          <w:rFonts w:ascii="Arial" w:hAnsi="Arial" w:cs="Arial"/>
          <w:sz w:val="16"/>
          <w:szCs w:val="16"/>
        </w:rPr>
        <w:t xml:space="preserve">   Nota aclaratoria: La Tabla 2 presenta únicamente la distribución de afiliados por EPS de los regímenes contributivo y subsidiado en Bogotá para 2025; por tanto, no incluye los afiliados pertenecientes a los regímenes de excepción, razón por la cual su total no coincide con el consolidado general del aseguramiento presentado en la Tabla 1. Estos regímenes se reportan de manera agregada en el estado general del aseguramiento, pero no hacen parte de la desagregación por EPS incluida en dicha tabla.</w:t>
      </w:r>
    </w:p>
  </w:footnote>
  <w:footnote w:id="5">
    <w:p w14:paraId="37F6AFE7" w14:textId="2F493449" w:rsidR="00472E1F" w:rsidRPr="00CF2306" w:rsidRDefault="00472E1F"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w:t>
      </w:r>
      <w:r>
        <w:rPr>
          <w:rFonts w:ascii="Arial" w:hAnsi="Arial" w:cs="Arial"/>
          <w:sz w:val="16"/>
          <w:szCs w:val="16"/>
        </w:rPr>
        <w:t>. Superintendencia de salud – consultado el 23 de febrero de 202</w:t>
      </w:r>
      <w:r w:rsidR="00100437">
        <w:rPr>
          <w:rFonts w:ascii="Arial" w:hAnsi="Arial" w:cs="Arial"/>
          <w:sz w:val="16"/>
          <w:szCs w:val="16"/>
        </w:rPr>
        <w:t>6</w:t>
      </w:r>
      <w:r>
        <w:rPr>
          <w:rFonts w:ascii="Arial" w:hAnsi="Arial" w:cs="Arial"/>
          <w:sz w:val="16"/>
          <w:szCs w:val="16"/>
        </w:rPr>
        <w:t xml:space="preserve">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6">
    <w:p w14:paraId="3F32C1FB" w14:textId="5032E753" w:rsidR="00472E1F" w:rsidRPr="00D23C6E" w:rsidRDefault="00472E1F">
      <w:pPr>
        <w:pStyle w:val="Textonotapie"/>
        <w:rPr>
          <w:rFonts w:ascii="Arial" w:hAnsi="Arial" w:cs="Arial"/>
        </w:rPr>
      </w:pPr>
      <w:r w:rsidRPr="00D23C6E">
        <w:rPr>
          <w:rStyle w:val="Refdenotaalpie"/>
          <w:rFonts w:ascii="Arial" w:hAnsi="Arial" w:cs="Arial"/>
          <w:sz w:val="16"/>
          <w:szCs w:val="16"/>
        </w:rPr>
        <w:footnoteRef/>
      </w:r>
      <w:r w:rsidRPr="00D23C6E">
        <w:rPr>
          <w:rFonts w:ascii="Arial" w:hAnsi="Arial" w:cs="Arial"/>
          <w:sz w:val="16"/>
          <w:szCs w:val="16"/>
        </w:rPr>
        <w:t xml:space="preserve"> Vigencia 2025 (01 de enero a 31 de diciembre de 2025)</w:t>
      </w:r>
    </w:p>
  </w:footnote>
  <w:footnote w:id="7">
    <w:p w14:paraId="1D15B2F4" w14:textId="349385BD" w:rsidR="00F9675F" w:rsidRPr="00F9675F" w:rsidRDefault="00F9675F" w:rsidP="00112C87">
      <w:pPr>
        <w:pStyle w:val="Textonotapie"/>
        <w:spacing w:line="360" w:lineRule="auto"/>
        <w:jc w:val="both"/>
        <w:rPr>
          <w:rFonts w:ascii="Arial" w:hAnsi="Arial" w:cs="Arial"/>
        </w:rPr>
      </w:pPr>
      <w:r w:rsidRPr="00F9675F">
        <w:rPr>
          <w:rStyle w:val="Refdenotaalpie"/>
          <w:rFonts w:ascii="Arial" w:hAnsi="Arial" w:cs="Arial"/>
          <w:sz w:val="16"/>
          <w:szCs w:val="16"/>
        </w:rPr>
        <w:footnoteRef/>
      </w:r>
      <w:r w:rsidRPr="00F9675F">
        <w:rPr>
          <w:rFonts w:ascii="Arial" w:hAnsi="Arial" w:cs="Arial"/>
          <w:sz w:val="16"/>
          <w:szCs w:val="16"/>
        </w:rPr>
        <w:t xml:space="preserve"> Nota: Los porcentajes de participación se calcularon sobre el total de PQRSD registradas en la vigencia. En conjunto, los cinco motivos aquí presentados concentran el 69,92% del total de manifestaciones.</w:t>
      </w:r>
    </w:p>
  </w:footnote>
  <w:footnote w:id="8">
    <w:p w14:paraId="592E2EEF" w14:textId="6BDC2090" w:rsidR="00C807E0" w:rsidRPr="00C807E0" w:rsidRDefault="00C807E0" w:rsidP="00C807E0">
      <w:pPr>
        <w:pStyle w:val="Textonotapie"/>
        <w:spacing w:line="360" w:lineRule="auto"/>
        <w:jc w:val="both"/>
        <w:rPr>
          <w:rFonts w:ascii="Arial" w:hAnsi="Arial" w:cs="Arial"/>
        </w:rPr>
      </w:pPr>
      <w:r w:rsidRPr="00C807E0">
        <w:rPr>
          <w:rStyle w:val="Refdenotaalpie"/>
          <w:rFonts w:ascii="Arial" w:hAnsi="Arial" w:cs="Arial"/>
          <w:sz w:val="16"/>
          <w:szCs w:val="16"/>
        </w:rPr>
        <w:footnoteRef/>
      </w:r>
      <w:r w:rsidRPr="00C807E0">
        <w:rPr>
          <w:rFonts w:ascii="Arial" w:hAnsi="Arial" w:cs="Arial"/>
          <w:sz w:val="16"/>
          <w:szCs w:val="16"/>
        </w:rPr>
        <w:t xml:space="preserve"> El número de nacimientos presentado en la tabla corresponde a los nacimientos registrados en Bogotá D. C. durante el periodo analizado. En consecuencia, la interpretación de la tasa debe realizarse teniendo en cuenta que el denominador utilizado proviene del registro distrital de nacimientos reportado en la fuente oficial consultada.</w:t>
      </w:r>
    </w:p>
  </w:footnote>
  <w:footnote w:id="9">
    <w:p w14:paraId="793B006E" w14:textId="6CBC6501" w:rsidR="00472E1F" w:rsidRPr="00EC4BA3" w:rsidRDefault="00472E1F"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 w:id="10">
    <w:p w14:paraId="76584B88" w14:textId="444CB403" w:rsidR="0038644E" w:rsidRPr="0038644E" w:rsidRDefault="0038644E" w:rsidP="0038644E">
      <w:pPr>
        <w:pStyle w:val="Textonotapie"/>
        <w:spacing w:line="360" w:lineRule="auto"/>
        <w:jc w:val="both"/>
        <w:rPr>
          <w:rFonts w:ascii="Arial" w:hAnsi="Arial" w:cs="Arial"/>
        </w:rPr>
      </w:pPr>
      <w:r w:rsidRPr="0038644E">
        <w:rPr>
          <w:rStyle w:val="Refdenotaalpie"/>
          <w:rFonts w:ascii="Arial" w:hAnsi="Arial" w:cs="Arial"/>
          <w:sz w:val="16"/>
          <w:szCs w:val="16"/>
        </w:rPr>
        <w:footnoteRef/>
      </w:r>
      <w:r w:rsidRPr="0038644E">
        <w:rPr>
          <w:rFonts w:ascii="Arial" w:hAnsi="Arial" w:cs="Arial"/>
          <w:sz w:val="16"/>
          <w:szCs w:val="16"/>
        </w:rPr>
        <w:t xml:space="preserve"> </w:t>
      </w:r>
      <w:r w:rsidR="00B34F63">
        <w:rPr>
          <w:rFonts w:ascii="Arial" w:hAnsi="Arial" w:cs="Arial"/>
          <w:sz w:val="16"/>
          <w:szCs w:val="16"/>
        </w:rPr>
        <w:t>L</w:t>
      </w:r>
      <w:r w:rsidR="00FB6B13" w:rsidRPr="00FB6B13">
        <w:rPr>
          <w:rFonts w:ascii="Arial" w:hAnsi="Arial" w:cs="Arial"/>
          <w:sz w:val="16"/>
          <w:szCs w:val="16"/>
        </w:rPr>
        <w:t>a categoría Otros agrupa las EAPB o registros no individualizados en la desagregación principal de la tabla, pero que hacen parte del total general de casos reportados en el periodo analizado.</w:t>
      </w:r>
    </w:p>
  </w:footnote>
  <w:footnote w:id="11">
    <w:p w14:paraId="6BBC7DB0" w14:textId="6969E8E9" w:rsidR="00583A33" w:rsidRPr="00583A33" w:rsidRDefault="00583A33" w:rsidP="00583A33">
      <w:pPr>
        <w:pStyle w:val="Textonotapie"/>
        <w:spacing w:line="360" w:lineRule="auto"/>
        <w:jc w:val="both"/>
        <w:rPr>
          <w:rFonts w:ascii="Arial" w:hAnsi="Arial" w:cs="Arial"/>
        </w:rPr>
      </w:pPr>
      <w:r w:rsidRPr="00583A33">
        <w:rPr>
          <w:rStyle w:val="Refdenotaalpie"/>
          <w:rFonts w:ascii="Arial" w:hAnsi="Arial" w:cs="Arial"/>
          <w:sz w:val="16"/>
          <w:szCs w:val="16"/>
        </w:rPr>
        <w:footnoteRef/>
      </w:r>
      <w:r w:rsidRPr="00583A33">
        <w:rPr>
          <w:rFonts w:ascii="Arial" w:hAnsi="Arial" w:cs="Arial"/>
          <w:sz w:val="16"/>
          <w:szCs w:val="16"/>
        </w:rPr>
        <w:t xml:space="preserve"> Los porcentajes presentados en la Tabla 18 se calcularon sobre el total de 199 casos correspondientes a COOSALUD EPS identificados en el seguimiento realizado por GAMA, y no sobre los 48 casos incluidos en el detalle de esta tabla. En consecuencia, la suma de los porcentajes aquí reportados corresponde al peso de cada categoría frente al total de casos de la EPS en el periodo analizado.</w:t>
      </w:r>
    </w:p>
  </w:footnote>
  <w:footnote w:id="12">
    <w:p w14:paraId="5063C3E8" w14:textId="48372C90" w:rsidR="00F30E29" w:rsidRPr="007D6AEF" w:rsidRDefault="00F30E29" w:rsidP="00F30E29">
      <w:pPr>
        <w:pStyle w:val="Textonotapie"/>
        <w:spacing w:line="360" w:lineRule="auto"/>
        <w:jc w:val="both"/>
        <w:rPr>
          <w:rFonts w:ascii="Arial" w:hAnsi="Arial" w:cs="Arial"/>
        </w:rPr>
      </w:pPr>
      <w:r w:rsidRPr="007D6AEF">
        <w:rPr>
          <w:rStyle w:val="Refdenotaalpie"/>
          <w:rFonts w:ascii="Arial" w:hAnsi="Arial" w:cs="Arial"/>
          <w:sz w:val="16"/>
          <w:szCs w:val="16"/>
        </w:rPr>
        <w:footnoteRef/>
      </w:r>
      <w:r w:rsidRPr="007D6AEF">
        <w:rPr>
          <w:rFonts w:ascii="Arial" w:hAnsi="Arial" w:cs="Arial"/>
          <w:sz w:val="16"/>
          <w:szCs w:val="16"/>
        </w:rPr>
        <w:t xml:space="preserve"> Los valores negativos del rubro “TOTAL, GASTOS” en 2024 y 2025 obedecen a la estructura de presentación contable del estado financiero y al efecto del rubro “CIERRE DE INGRESOS, GASTOS Y COSTOS”; por tanto, su interpretación debe realizarse de manera conjunta con el resultado del ejercicio y no como una reducción simple del gasto operativo.</w:t>
      </w:r>
    </w:p>
  </w:footnote>
  <w:footnote w:id="13">
    <w:p w14:paraId="035FAE37" w14:textId="77777777" w:rsidR="00C95308" w:rsidRPr="00632D77" w:rsidRDefault="00C95308" w:rsidP="00C95308">
      <w:pPr>
        <w:pStyle w:val="Textonotapie"/>
        <w:spacing w:line="360" w:lineRule="auto"/>
        <w:jc w:val="both"/>
        <w:rPr>
          <w:rFonts w:ascii="Arial" w:hAnsi="Arial" w:cs="Arial"/>
        </w:rPr>
      </w:pPr>
      <w:r w:rsidRPr="007A2773">
        <w:rPr>
          <w:rStyle w:val="Refdenotaalpie"/>
          <w:rFonts w:ascii="Arial" w:hAnsi="Arial" w:cs="Arial"/>
          <w:sz w:val="16"/>
          <w:szCs w:val="16"/>
        </w:rPr>
        <w:footnoteRef/>
      </w:r>
      <w:r w:rsidRPr="007A2773">
        <w:rPr>
          <w:rFonts w:ascii="Arial" w:hAnsi="Arial" w:cs="Arial"/>
          <w:sz w:val="16"/>
          <w:szCs w:val="16"/>
        </w:rPr>
        <w:t xml:space="preserve"> Para efectos del presente análisis, el rubro de cuentas por pagar de COOSALUD EPS corresponde a la consolidación de las siguientes cuentas contables: Cuentas por pagar al costo, Cuentas por pagar a vinculados económicos o partes relacionadas al costo, Cuentas por pagar al ADRES al costo y Costos y gastos por pagar al costo.</w:t>
      </w:r>
    </w:p>
  </w:footnote>
  <w:footnote w:id="14">
    <w:p w14:paraId="08AB1FAB" w14:textId="77777777" w:rsidR="00C95308" w:rsidRDefault="00C95308" w:rsidP="00C95308">
      <w:pPr>
        <w:pStyle w:val="Textonotapie"/>
        <w:spacing w:line="360" w:lineRule="auto"/>
        <w:jc w:val="both"/>
        <w:rPr>
          <w:rFonts w:ascii="Arial" w:hAnsi="Arial" w:cs="Arial"/>
        </w:rPr>
      </w:pPr>
      <w:r w:rsidRPr="00632D77">
        <w:rPr>
          <w:rStyle w:val="Refdenotaalpie"/>
          <w:rFonts w:ascii="Arial" w:hAnsi="Arial" w:cs="Arial"/>
        </w:rPr>
        <w:footnoteRef/>
      </w:r>
      <w:r w:rsidRPr="00632D77">
        <w:rPr>
          <w:rFonts w:ascii="Arial" w:hAnsi="Arial" w:cs="Arial"/>
        </w:rPr>
        <w:t xml:space="preserve">   La reserva técnica, según el Decreto 780 de 2016 (art. 2.5.2.2.1.9), es la obligación de las EPS de calcular, constituir y mantener actualizadas mensualmente reservas para garantizar el pago de los servicios de salud a su cargo. Incluye una reserva para obligaciones pendientes que cubre tanto servicios ya conocidos por la entidad como los ocurridos, pero aún no conocidos; y define que la reserva de obligaciones pendientes y conocidas se constituye desde que la EPS conoce el hecho generador, mientras que la reserva de obligaciones pendientes aún no conocidas corresponde a una estimación de obligaciones ya causadas que la EPS aún desconoce, calculada con metodologías actuariales (p. ej., “métodos de triángulos”).</w:t>
      </w:r>
    </w:p>
    <w:p w14:paraId="27EA92A1" w14:textId="77777777" w:rsidR="00C95308" w:rsidRPr="00632D77" w:rsidRDefault="00C95308" w:rsidP="00C95308">
      <w:pPr>
        <w:pStyle w:val="Textonotapie"/>
        <w:spacing w:line="360" w:lineRule="auto"/>
        <w:jc w:val="both"/>
        <w:rPr>
          <w:rFonts w:ascii="Arial" w:hAnsi="Arial" w:cs="Arial"/>
        </w:rPr>
      </w:pPr>
    </w:p>
  </w:footnote>
  <w:footnote w:id="15">
    <w:p w14:paraId="6D07E41B" w14:textId="77777777" w:rsidR="00C95308" w:rsidRPr="00883A52" w:rsidRDefault="00C95308" w:rsidP="00C95308">
      <w:pPr>
        <w:pStyle w:val="Textonotapie"/>
        <w:spacing w:line="360" w:lineRule="auto"/>
        <w:jc w:val="both"/>
        <w:rPr>
          <w:rFonts w:ascii="Arial" w:hAnsi="Arial" w:cs="Arial"/>
        </w:rPr>
      </w:pPr>
      <w:r w:rsidRPr="00883A52">
        <w:rPr>
          <w:rStyle w:val="Refdenotaalpie"/>
          <w:rFonts w:ascii="Arial" w:hAnsi="Arial" w:cs="Arial"/>
        </w:rPr>
        <w:footnoteRef/>
      </w:r>
      <w:r w:rsidRPr="00883A52">
        <w:rPr>
          <w:rFonts w:ascii="Arial" w:hAnsi="Arial" w:cs="Arial"/>
        </w:rPr>
        <w:t xml:space="preserve"> Para efectos del presente análisis, el indicador de reservas técnicas de COOSALUD EPS corresponde a la consolidación de las siguientes cuentas: Reservas técnicas - obligaciones liquidadas pendientes de pago - servicio de salud (UPC), Reservas técnicas - obligaciones liquidadas pendientes de pago - incapacidades (UPC), Reservas técnicas - obligaciones pendientes conocidas no liquidadas por servicios de salud (facturadas), Reservas técnicas - obligaciones liquidadas pendientes de pago - presupuesto máximo y provisiones.</w:t>
      </w:r>
    </w:p>
    <w:p w14:paraId="62C6D3CC" w14:textId="77777777" w:rsidR="00C95308" w:rsidRDefault="00C95308" w:rsidP="00C95308">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1801" w14:textId="65E02A7F" w:rsidR="009170C7" w:rsidRDefault="009170C7">
    <w:pPr>
      <w:pStyle w:val="Encabezado"/>
    </w:pPr>
    <w:r w:rsidRPr="006068A2">
      <w:rPr>
        <w:rFonts w:ascii="Arial" w:hAnsi="Arial" w:cs="Arial"/>
        <w:b/>
        <w:bCs/>
        <w:noProof/>
        <w:sz w:val="22"/>
        <w:szCs w:val="22"/>
        <w:lang w:eastAsia="es-CO"/>
      </w:rPr>
      <w:drawing>
        <wp:anchor distT="0" distB="0" distL="114300" distR="114300" simplePos="0" relativeHeight="251659264" behindDoc="1" locked="0" layoutInCell="1" allowOverlap="1" wp14:anchorId="06866841" wp14:editId="310F88A0">
          <wp:simplePos x="0" y="0"/>
          <wp:positionH relativeFrom="margin">
            <wp:posOffset>2526030</wp:posOffset>
          </wp:positionH>
          <wp:positionV relativeFrom="paragraph">
            <wp:posOffset>-142875</wp:posOffset>
          </wp:positionV>
          <wp:extent cx="541867" cy="763719"/>
          <wp:effectExtent l="0" t="0" r="0" b="0"/>
          <wp:wrapNone/>
          <wp:docPr id="5"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r="2917"/>
                  <a:stretch>
                    <a:fillRect/>
                  </a:stretch>
                </pic:blipFill>
                <pic:spPr bwMode="auto">
                  <a:xfrm>
                    <a:off x="0" y="0"/>
                    <a:ext cx="541867" cy="7637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0C87C" w14:textId="77777777" w:rsidR="009170C7" w:rsidRDefault="009170C7" w:rsidP="0003723C">
    <w:pPr>
      <w:pStyle w:val="Encabezado"/>
      <w:jc w:val="center"/>
    </w:pPr>
  </w:p>
  <w:p w14:paraId="26F13565" w14:textId="4AA138C3" w:rsidR="009170C7" w:rsidRDefault="009170C7">
    <w:pPr>
      <w:pStyle w:val="Encabezado"/>
    </w:pPr>
  </w:p>
  <w:p w14:paraId="53AC8E10" w14:textId="24B243CF" w:rsidR="009170C7" w:rsidRDefault="009170C7">
    <w:pPr>
      <w:pStyle w:val="Encabezado"/>
    </w:pPr>
  </w:p>
</w:hdr>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mFaRYjL8SsGfUk" int2:id="qttawLDs">
      <int2:state int2:value="Rejected" int2:type="spell"/>
    </int2:textHash>
    <int2:textHash int2:hashCode="x4wpeLKHq+3Ecz" int2:id="rJYWCY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6368E"/>
    <w:multiLevelType w:val="hybridMultilevel"/>
    <w:tmpl w:val="63507A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E54D7C"/>
    <w:multiLevelType w:val="hybridMultilevel"/>
    <w:tmpl w:val="F900F82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0B36187"/>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6"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7" w15:restartNumberingAfterBreak="0">
    <w:nsid w:val="2D990197"/>
    <w:multiLevelType w:val="hybridMultilevel"/>
    <w:tmpl w:val="6674C7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3C553F8"/>
    <w:multiLevelType w:val="hybridMultilevel"/>
    <w:tmpl w:val="435210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11" w15:restartNumberingAfterBreak="0">
    <w:nsid w:val="3BFC6FCD"/>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13"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0521DE5"/>
    <w:multiLevelType w:val="hybridMultilevel"/>
    <w:tmpl w:val="3F4CC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7"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8" w15:restartNumberingAfterBreak="0">
    <w:nsid w:val="5AE14290"/>
    <w:multiLevelType w:val="hybridMultilevel"/>
    <w:tmpl w:val="B2502F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D333A6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20"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21" w15:restartNumberingAfterBreak="0">
    <w:nsid w:val="6CF95D0C"/>
    <w:multiLevelType w:val="hybridMultilevel"/>
    <w:tmpl w:val="D0061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abstractNum w:abstractNumId="24" w15:restartNumberingAfterBreak="0">
    <w:nsid w:val="79504245"/>
    <w:multiLevelType w:val="multilevel"/>
    <w:tmpl w:val="60228C1E"/>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9298664">
    <w:abstractNumId w:val="5"/>
  </w:num>
  <w:num w:numId="2" w16cid:durableId="2061396178">
    <w:abstractNumId w:val="16"/>
  </w:num>
  <w:num w:numId="3" w16cid:durableId="812402908">
    <w:abstractNumId w:val="6"/>
  </w:num>
  <w:num w:numId="4" w16cid:durableId="536623868">
    <w:abstractNumId w:val="12"/>
  </w:num>
  <w:num w:numId="5" w16cid:durableId="1388382272">
    <w:abstractNumId w:val="23"/>
  </w:num>
  <w:num w:numId="6" w16cid:durableId="239948052">
    <w:abstractNumId w:val="20"/>
  </w:num>
  <w:num w:numId="7" w16cid:durableId="1295211092">
    <w:abstractNumId w:val="17"/>
  </w:num>
  <w:num w:numId="8" w16cid:durableId="981302421">
    <w:abstractNumId w:val="22"/>
  </w:num>
  <w:num w:numId="9" w16cid:durableId="1460340560">
    <w:abstractNumId w:val="10"/>
  </w:num>
  <w:num w:numId="10" w16cid:durableId="989679219">
    <w:abstractNumId w:val="8"/>
  </w:num>
  <w:num w:numId="11" w16cid:durableId="1420977786">
    <w:abstractNumId w:val="13"/>
  </w:num>
  <w:num w:numId="12" w16cid:durableId="256014078">
    <w:abstractNumId w:val="0"/>
  </w:num>
  <w:num w:numId="13" w16cid:durableId="1599025293">
    <w:abstractNumId w:val="14"/>
  </w:num>
  <w:num w:numId="14" w16cid:durableId="213548193">
    <w:abstractNumId w:val="4"/>
  </w:num>
  <w:num w:numId="15" w16cid:durableId="953557738">
    <w:abstractNumId w:val="9"/>
  </w:num>
  <w:num w:numId="16" w16cid:durableId="1732800768">
    <w:abstractNumId w:val="15"/>
  </w:num>
  <w:num w:numId="17" w16cid:durableId="1570576537">
    <w:abstractNumId w:val="18"/>
  </w:num>
  <w:num w:numId="18" w16cid:durableId="800270915">
    <w:abstractNumId w:val="1"/>
  </w:num>
  <w:num w:numId="19" w16cid:durableId="670372710">
    <w:abstractNumId w:val="21"/>
  </w:num>
  <w:num w:numId="20" w16cid:durableId="1323703438">
    <w:abstractNumId w:val="7"/>
  </w:num>
  <w:num w:numId="21" w16cid:durableId="1960381366">
    <w:abstractNumId w:val="24"/>
  </w:num>
  <w:num w:numId="22" w16cid:durableId="1028217197">
    <w:abstractNumId w:val="2"/>
  </w:num>
  <w:num w:numId="23" w16cid:durableId="199980749">
    <w:abstractNumId w:val="11"/>
  </w:num>
  <w:num w:numId="24" w16cid:durableId="2111966188">
    <w:abstractNumId w:val="3"/>
  </w:num>
  <w:num w:numId="25" w16cid:durableId="128576849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16A29"/>
    <w:rsid w:val="0002194D"/>
    <w:rsid w:val="00023E8D"/>
    <w:rsid w:val="00024A4D"/>
    <w:rsid w:val="00027656"/>
    <w:rsid w:val="0003723C"/>
    <w:rsid w:val="00040999"/>
    <w:rsid w:val="00041003"/>
    <w:rsid w:val="00041F7F"/>
    <w:rsid w:val="00045103"/>
    <w:rsid w:val="00045E32"/>
    <w:rsid w:val="00050F56"/>
    <w:rsid w:val="00050F77"/>
    <w:rsid w:val="00052DDE"/>
    <w:rsid w:val="00055158"/>
    <w:rsid w:val="000572F1"/>
    <w:rsid w:val="00057AD1"/>
    <w:rsid w:val="000605F0"/>
    <w:rsid w:val="000622F0"/>
    <w:rsid w:val="0006330A"/>
    <w:rsid w:val="00066BB2"/>
    <w:rsid w:val="00066D23"/>
    <w:rsid w:val="000675B7"/>
    <w:rsid w:val="00067619"/>
    <w:rsid w:val="00070471"/>
    <w:rsid w:val="00071696"/>
    <w:rsid w:val="000752BB"/>
    <w:rsid w:val="0007604D"/>
    <w:rsid w:val="0007677A"/>
    <w:rsid w:val="000771E3"/>
    <w:rsid w:val="00081D42"/>
    <w:rsid w:val="00081DDD"/>
    <w:rsid w:val="000821A7"/>
    <w:rsid w:val="00082B8F"/>
    <w:rsid w:val="0009034C"/>
    <w:rsid w:val="00091A35"/>
    <w:rsid w:val="00094C9A"/>
    <w:rsid w:val="00095D79"/>
    <w:rsid w:val="00096F77"/>
    <w:rsid w:val="000A01E8"/>
    <w:rsid w:val="000A06C2"/>
    <w:rsid w:val="000A0E03"/>
    <w:rsid w:val="000A3A65"/>
    <w:rsid w:val="000A5809"/>
    <w:rsid w:val="000A5B55"/>
    <w:rsid w:val="000A7025"/>
    <w:rsid w:val="000A70D2"/>
    <w:rsid w:val="000A745F"/>
    <w:rsid w:val="000B0A05"/>
    <w:rsid w:val="000B0B5B"/>
    <w:rsid w:val="000B188D"/>
    <w:rsid w:val="000B2309"/>
    <w:rsid w:val="000B3246"/>
    <w:rsid w:val="000B4195"/>
    <w:rsid w:val="000B4925"/>
    <w:rsid w:val="000B5BDD"/>
    <w:rsid w:val="000B7ED4"/>
    <w:rsid w:val="000C434D"/>
    <w:rsid w:val="000C4AE0"/>
    <w:rsid w:val="000C4AF1"/>
    <w:rsid w:val="000C5D71"/>
    <w:rsid w:val="000C7746"/>
    <w:rsid w:val="000C7B45"/>
    <w:rsid w:val="000D21E7"/>
    <w:rsid w:val="000D220F"/>
    <w:rsid w:val="000D2714"/>
    <w:rsid w:val="000D2E84"/>
    <w:rsid w:val="000D315F"/>
    <w:rsid w:val="000D3638"/>
    <w:rsid w:val="000D3B21"/>
    <w:rsid w:val="000D7BB3"/>
    <w:rsid w:val="000E37D2"/>
    <w:rsid w:val="000E38C8"/>
    <w:rsid w:val="000E47EB"/>
    <w:rsid w:val="000E5255"/>
    <w:rsid w:val="000E6385"/>
    <w:rsid w:val="000E66B4"/>
    <w:rsid w:val="000F2D29"/>
    <w:rsid w:val="000F3A63"/>
    <w:rsid w:val="000F439D"/>
    <w:rsid w:val="000F4669"/>
    <w:rsid w:val="000F4C5E"/>
    <w:rsid w:val="000F6EB0"/>
    <w:rsid w:val="000F7A08"/>
    <w:rsid w:val="000F7BB0"/>
    <w:rsid w:val="00100437"/>
    <w:rsid w:val="00101653"/>
    <w:rsid w:val="001030B0"/>
    <w:rsid w:val="00104193"/>
    <w:rsid w:val="00105BA0"/>
    <w:rsid w:val="00107158"/>
    <w:rsid w:val="0010760E"/>
    <w:rsid w:val="001105AB"/>
    <w:rsid w:val="00112C87"/>
    <w:rsid w:val="00113FF1"/>
    <w:rsid w:val="00115264"/>
    <w:rsid w:val="001172EA"/>
    <w:rsid w:val="00122A72"/>
    <w:rsid w:val="00126F7F"/>
    <w:rsid w:val="00127AB7"/>
    <w:rsid w:val="0013046D"/>
    <w:rsid w:val="00137270"/>
    <w:rsid w:val="0014023D"/>
    <w:rsid w:val="001413B9"/>
    <w:rsid w:val="00141BB5"/>
    <w:rsid w:val="0014260E"/>
    <w:rsid w:val="00144E17"/>
    <w:rsid w:val="00150479"/>
    <w:rsid w:val="00154AE6"/>
    <w:rsid w:val="00155A35"/>
    <w:rsid w:val="0015655B"/>
    <w:rsid w:val="00157695"/>
    <w:rsid w:val="001638F3"/>
    <w:rsid w:val="001640FF"/>
    <w:rsid w:val="00165FD2"/>
    <w:rsid w:val="0016679D"/>
    <w:rsid w:val="00166B13"/>
    <w:rsid w:val="00166C07"/>
    <w:rsid w:val="00167870"/>
    <w:rsid w:val="0017426C"/>
    <w:rsid w:val="001830BB"/>
    <w:rsid w:val="0018759B"/>
    <w:rsid w:val="001876FA"/>
    <w:rsid w:val="00192654"/>
    <w:rsid w:val="0019510E"/>
    <w:rsid w:val="001A26C2"/>
    <w:rsid w:val="001A7015"/>
    <w:rsid w:val="001A77FC"/>
    <w:rsid w:val="001A7B43"/>
    <w:rsid w:val="001B0FB2"/>
    <w:rsid w:val="001B1316"/>
    <w:rsid w:val="001B465B"/>
    <w:rsid w:val="001B53C3"/>
    <w:rsid w:val="001B5908"/>
    <w:rsid w:val="001B6867"/>
    <w:rsid w:val="001C0DDE"/>
    <w:rsid w:val="001C0F6C"/>
    <w:rsid w:val="001C2986"/>
    <w:rsid w:val="001C5007"/>
    <w:rsid w:val="001C53E5"/>
    <w:rsid w:val="001D0792"/>
    <w:rsid w:val="001D17B0"/>
    <w:rsid w:val="001D42A7"/>
    <w:rsid w:val="001D4540"/>
    <w:rsid w:val="001D51E0"/>
    <w:rsid w:val="001D59FF"/>
    <w:rsid w:val="001D6300"/>
    <w:rsid w:val="001D7967"/>
    <w:rsid w:val="001D7EAA"/>
    <w:rsid w:val="001E3960"/>
    <w:rsid w:val="001E65A2"/>
    <w:rsid w:val="001F00A5"/>
    <w:rsid w:val="001F08D8"/>
    <w:rsid w:val="001F1D2E"/>
    <w:rsid w:val="001F21CF"/>
    <w:rsid w:val="001F24DC"/>
    <w:rsid w:val="001F2D86"/>
    <w:rsid w:val="001F5DE5"/>
    <w:rsid w:val="00200D47"/>
    <w:rsid w:val="00201941"/>
    <w:rsid w:val="0020642A"/>
    <w:rsid w:val="00207C34"/>
    <w:rsid w:val="00207C99"/>
    <w:rsid w:val="00210D31"/>
    <w:rsid w:val="0021177E"/>
    <w:rsid w:val="00213F66"/>
    <w:rsid w:val="00214929"/>
    <w:rsid w:val="002154AA"/>
    <w:rsid w:val="00217364"/>
    <w:rsid w:val="00221212"/>
    <w:rsid w:val="002216CC"/>
    <w:rsid w:val="00222E85"/>
    <w:rsid w:val="0022326D"/>
    <w:rsid w:val="00227198"/>
    <w:rsid w:val="00227A6D"/>
    <w:rsid w:val="00230694"/>
    <w:rsid w:val="00234D34"/>
    <w:rsid w:val="002355F9"/>
    <w:rsid w:val="00237611"/>
    <w:rsid w:val="00237C6E"/>
    <w:rsid w:val="00237D17"/>
    <w:rsid w:val="002419C4"/>
    <w:rsid w:val="00241C29"/>
    <w:rsid w:val="002438C9"/>
    <w:rsid w:val="002501CF"/>
    <w:rsid w:val="00250A70"/>
    <w:rsid w:val="00250F61"/>
    <w:rsid w:val="00252583"/>
    <w:rsid w:val="002535FF"/>
    <w:rsid w:val="0025683A"/>
    <w:rsid w:val="00260408"/>
    <w:rsid w:val="00262CFA"/>
    <w:rsid w:val="00264F56"/>
    <w:rsid w:val="00265FC4"/>
    <w:rsid w:val="00267D6E"/>
    <w:rsid w:val="0027087D"/>
    <w:rsid w:val="00272DC4"/>
    <w:rsid w:val="00273BC4"/>
    <w:rsid w:val="002752D2"/>
    <w:rsid w:val="00277DCF"/>
    <w:rsid w:val="00284D90"/>
    <w:rsid w:val="00286411"/>
    <w:rsid w:val="00291443"/>
    <w:rsid w:val="00291B94"/>
    <w:rsid w:val="00292AE7"/>
    <w:rsid w:val="00292B30"/>
    <w:rsid w:val="00292D75"/>
    <w:rsid w:val="0029411A"/>
    <w:rsid w:val="00294A34"/>
    <w:rsid w:val="00294D69"/>
    <w:rsid w:val="00295353"/>
    <w:rsid w:val="002954EE"/>
    <w:rsid w:val="002959E8"/>
    <w:rsid w:val="002A0425"/>
    <w:rsid w:val="002A1319"/>
    <w:rsid w:val="002A145C"/>
    <w:rsid w:val="002A1B05"/>
    <w:rsid w:val="002A2095"/>
    <w:rsid w:val="002A44A9"/>
    <w:rsid w:val="002A4590"/>
    <w:rsid w:val="002A6FFD"/>
    <w:rsid w:val="002A73BF"/>
    <w:rsid w:val="002B2465"/>
    <w:rsid w:val="002B36A5"/>
    <w:rsid w:val="002B36F8"/>
    <w:rsid w:val="002B3C95"/>
    <w:rsid w:val="002B4510"/>
    <w:rsid w:val="002B505E"/>
    <w:rsid w:val="002B597E"/>
    <w:rsid w:val="002B65B6"/>
    <w:rsid w:val="002B7092"/>
    <w:rsid w:val="002B7932"/>
    <w:rsid w:val="002C3046"/>
    <w:rsid w:val="002C465B"/>
    <w:rsid w:val="002C6F74"/>
    <w:rsid w:val="002C7124"/>
    <w:rsid w:val="002C7EA5"/>
    <w:rsid w:val="002D098C"/>
    <w:rsid w:val="002D2FBF"/>
    <w:rsid w:val="002D4D80"/>
    <w:rsid w:val="002E04C6"/>
    <w:rsid w:val="002E0B82"/>
    <w:rsid w:val="002E1439"/>
    <w:rsid w:val="002E21B4"/>
    <w:rsid w:val="002E490B"/>
    <w:rsid w:val="002E5DC9"/>
    <w:rsid w:val="002F0ACF"/>
    <w:rsid w:val="002F1512"/>
    <w:rsid w:val="002F22FF"/>
    <w:rsid w:val="002F4EEB"/>
    <w:rsid w:val="002F60E7"/>
    <w:rsid w:val="002F70FA"/>
    <w:rsid w:val="00300C3E"/>
    <w:rsid w:val="003015AC"/>
    <w:rsid w:val="003018C5"/>
    <w:rsid w:val="00302BEF"/>
    <w:rsid w:val="00305273"/>
    <w:rsid w:val="00305D8E"/>
    <w:rsid w:val="00307A5F"/>
    <w:rsid w:val="00307D6E"/>
    <w:rsid w:val="00311B34"/>
    <w:rsid w:val="00312A09"/>
    <w:rsid w:val="003138D1"/>
    <w:rsid w:val="00315327"/>
    <w:rsid w:val="00315623"/>
    <w:rsid w:val="0031694C"/>
    <w:rsid w:val="00317641"/>
    <w:rsid w:val="003232AF"/>
    <w:rsid w:val="003255DD"/>
    <w:rsid w:val="003301AC"/>
    <w:rsid w:val="00332C0A"/>
    <w:rsid w:val="003347F9"/>
    <w:rsid w:val="00335D8D"/>
    <w:rsid w:val="00335DEA"/>
    <w:rsid w:val="00335F05"/>
    <w:rsid w:val="00336AD8"/>
    <w:rsid w:val="00336F23"/>
    <w:rsid w:val="00343B82"/>
    <w:rsid w:val="0034467D"/>
    <w:rsid w:val="00344B6A"/>
    <w:rsid w:val="003451F0"/>
    <w:rsid w:val="0034663D"/>
    <w:rsid w:val="00347954"/>
    <w:rsid w:val="00347F3A"/>
    <w:rsid w:val="0034D3F3"/>
    <w:rsid w:val="003504E3"/>
    <w:rsid w:val="00352D96"/>
    <w:rsid w:val="00352E9D"/>
    <w:rsid w:val="00353CBF"/>
    <w:rsid w:val="00353CF9"/>
    <w:rsid w:val="003541C4"/>
    <w:rsid w:val="00356D22"/>
    <w:rsid w:val="00357C2F"/>
    <w:rsid w:val="00357DC1"/>
    <w:rsid w:val="00361B4D"/>
    <w:rsid w:val="00363099"/>
    <w:rsid w:val="003639CD"/>
    <w:rsid w:val="003678FB"/>
    <w:rsid w:val="003733D2"/>
    <w:rsid w:val="00374231"/>
    <w:rsid w:val="00376DDE"/>
    <w:rsid w:val="00382BC1"/>
    <w:rsid w:val="0038475F"/>
    <w:rsid w:val="0038644E"/>
    <w:rsid w:val="00386C38"/>
    <w:rsid w:val="0038759F"/>
    <w:rsid w:val="00390BFB"/>
    <w:rsid w:val="00391545"/>
    <w:rsid w:val="003916ED"/>
    <w:rsid w:val="003925D9"/>
    <w:rsid w:val="003966B2"/>
    <w:rsid w:val="003A05B7"/>
    <w:rsid w:val="003A1441"/>
    <w:rsid w:val="003A1EEF"/>
    <w:rsid w:val="003A7D5B"/>
    <w:rsid w:val="003B27D7"/>
    <w:rsid w:val="003B379E"/>
    <w:rsid w:val="003B41EE"/>
    <w:rsid w:val="003B4297"/>
    <w:rsid w:val="003B63D7"/>
    <w:rsid w:val="003C1D67"/>
    <w:rsid w:val="003C35FE"/>
    <w:rsid w:val="003C3CDA"/>
    <w:rsid w:val="003C5B85"/>
    <w:rsid w:val="003C5C04"/>
    <w:rsid w:val="003D170E"/>
    <w:rsid w:val="003D1D4F"/>
    <w:rsid w:val="003D2120"/>
    <w:rsid w:val="003D3846"/>
    <w:rsid w:val="003D4582"/>
    <w:rsid w:val="003D46AE"/>
    <w:rsid w:val="003D47E2"/>
    <w:rsid w:val="003D4F3C"/>
    <w:rsid w:val="003D51BB"/>
    <w:rsid w:val="003D6BF7"/>
    <w:rsid w:val="003D6E53"/>
    <w:rsid w:val="003E13A5"/>
    <w:rsid w:val="003E16CD"/>
    <w:rsid w:val="003E555A"/>
    <w:rsid w:val="003E735A"/>
    <w:rsid w:val="003E73E0"/>
    <w:rsid w:val="003E7829"/>
    <w:rsid w:val="003E7BF4"/>
    <w:rsid w:val="003F1375"/>
    <w:rsid w:val="003F16D5"/>
    <w:rsid w:val="003F24E5"/>
    <w:rsid w:val="003F3C8F"/>
    <w:rsid w:val="00402F3F"/>
    <w:rsid w:val="00404F8A"/>
    <w:rsid w:val="00405C54"/>
    <w:rsid w:val="004151C1"/>
    <w:rsid w:val="0042010F"/>
    <w:rsid w:val="00420A4E"/>
    <w:rsid w:val="00420B6D"/>
    <w:rsid w:val="00423215"/>
    <w:rsid w:val="00423AC9"/>
    <w:rsid w:val="00425868"/>
    <w:rsid w:val="00426942"/>
    <w:rsid w:val="004304A3"/>
    <w:rsid w:val="00430E2C"/>
    <w:rsid w:val="00431FE9"/>
    <w:rsid w:val="0043304F"/>
    <w:rsid w:val="00434496"/>
    <w:rsid w:val="004344B8"/>
    <w:rsid w:val="00434F8D"/>
    <w:rsid w:val="00436718"/>
    <w:rsid w:val="00437BAF"/>
    <w:rsid w:val="00441868"/>
    <w:rsid w:val="0044359F"/>
    <w:rsid w:val="00445B3B"/>
    <w:rsid w:val="00445E00"/>
    <w:rsid w:val="00446784"/>
    <w:rsid w:val="0044CD79"/>
    <w:rsid w:val="0045039E"/>
    <w:rsid w:val="00452053"/>
    <w:rsid w:val="0045406A"/>
    <w:rsid w:val="00454811"/>
    <w:rsid w:val="00455224"/>
    <w:rsid w:val="004627E5"/>
    <w:rsid w:val="00462AE5"/>
    <w:rsid w:val="00464BC3"/>
    <w:rsid w:val="004654A3"/>
    <w:rsid w:val="004654B2"/>
    <w:rsid w:val="0046698E"/>
    <w:rsid w:val="004721DB"/>
    <w:rsid w:val="00472E1F"/>
    <w:rsid w:val="00473177"/>
    <w:rsid w:val="00475638"/>
    <w:rsid w:val="0048032B"/>
    <w:rsid w:val="00481349"/>
    <w:rsid w:val="004842CD"/>
    <w:rsid w:val="00484E00"/>
    <w:rsid w:val="004867CB"/>
    <w:rsid w:val="00486C10"/>
    <w:rsid w:val="00486E14"/>
    <w:rsid w:val="00486EC6"/>
    <w:rsid w:val="00487056"/>
    <w:rsid w:val="00493E4A"/>
    <w:rsid w:val="00494144"/>
    <w:rsid w:val="0049602A"/>
    <w:rsid w:val="004968F4"/>
    <w:rsid w:val="00496AB4"/>
    <w:rsid w:val="004A18E2"/>
    <w:rsid w:val="004A1E75"/>
    <w:rsid w:val="004B0815"/>
    <w:rsid w:val="004B0A31"/>
    <w:rsid w:val="004B1B65"/>
    <w:rsid w:val="004B29D9"/>
    <w:rsid w:val="004B2D39"/>
    <w:rsid w:val="004B3024"/>
    <w:rsid w:val="004B3AAF"/>
    <w:rsid w:val="004B3D22"/>
    <w:rsid w:val="004B3F5B"/>
    <w:rsid w:val="004B48F9"/>
    <w:rsid w:val="004B4B3B"/>
    <w:rsid w:val="004C0260"/>
    <w:rsid w:val="004C232A"/>
    <w:rsid w:val="004C3830"/>
    <w:rsid w:val="004C41C4"/>
    <w:rsid w:val="004C6CBB"/>
    <w:rsid w:val="004C7D8C"/>
    <w:rsid w:val="004D23E1"/>
    <w:rsid w:val="004D4313"/>
    <w:rsid w:val="004D5B00"/>
    <w:rsid w:val="004D6CDA"/>
    <w:rsid w:val="004D6D8C"/>
    <w:rsid w:val="004D7781"/>
    <w:rsid w:val="004E155E"/>
    <w:rsid w:val="004E2B17"/>
    <w:rsid w:val="004E3B4C"/>
    <w:rsid w:val="004E437A"/>
    <w:rsid w:val="004E4B92"/>
    <w:rsid w:val="004E66A2"/>
    <w:rsid w:val="004F2615"/>
    <w:rsid w:val="004F3A95"/>
    <w:rsid w:val="004F3DC0"/>
    <w:rsid w:val="004F4FC0"/>
    <w:rsid w:val="004F541C"/>
    <w:rsid w:val="004F718A"/>
    <w:rsid w:val="00500528"/>
    <w:rsid w:val="00501728"/>
    <w:rsid w:val="00504F72"/>
    <w:rsid w:val="00506EDE"/>
    <w:rsid w:val="00507B91"/>
    <w:rsid w:val="00510549"/>
    <w:rsid w:val="0051054F"/>
    <w:rsid w:val="00510A41"/>
    <w:rsid w:val="005123C4"/>
    <w:rsid w:val="00512E6A"/>
    <w:rsid w:val="0051344B"/>
    <w:rsid w:val="0051420F"/>
    <w:rsid w:val="00515E8D"/>
    <w:rsid w:val="0052100E"/>
    <w:rsid w:val="00526BB5"/>
    <w:rsid w:val="00535C8F"/>
    <w:rsid w:val="00540452"/>
    <w:rsid w:val="0054068A"/>
    <w:rsid w:val="00540760"/>
    <w:rsid w:val="005413D2"/>
    <w:rsid w:val="00543119"/>
    <w:rsid w:val="00543C89"/>
    <w:rsid w:val="005443E8"/>
    <w:rsid w:val="0054461B"/>
    <w:rsid w:val="00544BC6"/>
    <w:rsid w:val="005455E2"/>
    <w:rsid w:val="005456E4"/>
    <w:rsid w:val="005466F0"/>
    <w:rsid w:val="005478AE"/>
    <w:rsid w:val="00550B2C"/>
    <w:rsid w:val="0055128B"/>
    <w:rsid w:val="00552673"/>
    <w:rsid w:val="005526C2"/>
    <w:rsid w:val="00554846"/>
    <w:rsid w:val="00555A1B"/>
    <w:rsid w:val="00555C6F"/>
    <w:rsid w:val="005568E5"/>
    <w:rsid w:val="00556B38"/>
    <w:rsid w:val="00556B9A"/>
    <w:rsid w:val="00556C46"/>
    <w:rsid w:val="005608BE"/>
    <w:rsid w:val="00562305"/>
    <w:rsid w:val="00563B9D"/>
    <w:rsid w:val="00564E26"/>
    <w:rsid w:val="00565FCA"/>
    <w:rsid w:val="005671CB"/>
    <w:rsid w:val="00567A33"/>
    <w:rsid w:val="00570E02"/>
    <w:rsid w:val="00570E75"/>
    <w:rsid w:val="00571191"/>
    <w:rsid w:val="0057127F"/>
    <w:rsid w:val="005715E3"/>
    <w:rsid w:val="00571DC1"/>
    <w:rsid w:val="005751BE"/>
    <w:rsid w:val="00575AF9"/>
    <w:rsid w:val="00575FDB"/>
    <w:rsid w:val="00577011"/>
    <w:rsid w:val="00580BD6"/>
    <w:rsid w:val="00583A33"/>
    <w:rsid w:val="00583D66"/>
    <w:rsid w:val="00584122"/>
    <w:rsid w:val="00585629"/>
    <w:rsid w:val="00585A59"/>
    <w:rsid w:val="0058615C"/>
    <w:rsid w:val="0058696A"/>
    <w:rsid w:val="00590979"/>
    <w:rsid w:val="00592840"/>
    <w:rsid w:val="00592CDD"/>
    <w:rsid w:val="00595EA7"/>
    <w:rsid w:val="00596CB1"/>
    <w:rsid w:val="005974D2"/>
    <w:rsid w:val="00597F5E"/>
    <w:rsid w:val="005A0DAE"/>
    <w:rsid w:val="005A0F8E"/>
    <w:rsid w:val="005A13B1"/>
    <w:rsid w:val="005A1C94"/>
    <w:rsid w:val="005A3C41"/>
    <w:rsid w:val="005A4E7B"/>
    <w:rsid w:val="005B00AD"/>
    <w:rsid w:val="005B04D1"/>
    <w:rsid w:val="005B12D7"/>
    <w:rsid w:val="005B2AE4"/>
    <w:rsid w:val="005B38C1"/>
    <w:rsid w:val="005B643A"/>
    <w:rsid w:val="005C1B71"/>
    <w:rsid w:val="005C4E63"/>
    <w:rsid w:val="005C9E8A"/>
    <w:rsid w:val="005D0A76"/>
    <w:rsid w:val="005D1866"/>
    <w:rsid w:val="005D2032"/>
    <w:rsid w:val="005D4A7C"/>
    <w:rsid w:val="005D62BA"/>
    <w:rsid w:val="005D6AE5"/>
    <w:rsid w:val="005D7623"/>
    <w:rsid w:val="005E092F"/>
    <w:rsid w:val="005E3407"/>
    <w:rsid w:val="005E50EA"/>
    <w:rsid w:val="005E55F8"/>
    <w:rsid w:val="005E58A9"/>
    <w:rsid w:val="005E61CA"/>
    <w:rsid w:val="005E7F8C"/>
    <w:rsid w:val="005F00DF"/>
    <w:rsid w:val="005F15CB"/>
    <w:rsid w:val="005F1D2B"/>
    <w:rsid w:val="005F2ACA"/>
    <w:rsid w:val="005F2F11"/>
    <w:rsid w:val="005F3242"/>
    <w:rsid w:val="005F3641"/>
    <w:rsid w:val="005F6E23"/>
    <w:rsid w:val="005F77CB"/>
    <w:rsid w:val="00600E83"/>
    <w:rsid w:val="00600F83"/>
    <w:rsid w:val="00601818"/>
    <w:rsid w:val="00603A7E"/>
    <w:rsid w:val="006068A2"/>
    <w:rsid w:val="00607234"/>
    <w:rsid w:val="0061067F"/>
    <w:rsid w:val="00610C26"/>
    <w:rsid w:val="006111AB"/>
    <w:rsid w:val="006115AA"/>
    <w:rsid w:val="00611630"/>
    <w:rsid w:val="00611BA9"/>
    <w:rsid w:val="006125C9"/>
    <w:rsid w:val="00614BC2"/>
    <w:rsid w:val="00615EC8"/>
    <w:rsid w:val="006203BE"/>
    <w:rsid w:val="006205B1"/>
    <w:rsid w:val="006205CA"/>
    <w:rsid w:val="006212E1"/>
    <w:rsid w:val="0062135F"/>
    <w:rsid w:val="00622618"/>
    <w:rsid w:val="00624BBD"/>
    <w:rsid w:val="00626751"/>
    <w:rsid w:val="00626A0B"/>
    <w:rsid w:val="0062747E"/>
    <w:rsid w:val="00632E83"/>
    <w:rsid w:val="00633312"/>
    <w:rsid w:val="0063378A"/>
    <w:rsid w:val="00633DE6"/>
    <w:rsid w:val="00635EE4"/>
    <w:rsid w:val="006400CD"/>
    <w:rsid w:val="006408A7"/>
    <w:rsid w:val="00640D6E"/>
    <w:rsid w:val="00640F84"/>
    <w:rsid w:val="00642C76"/>
    <w:rsid w:val="006463EC"/>
    <w:rsid w:val="006532D0"/>
    <w:rsid w:val="00653BCF"/>
    <w:rsid w:val="00653E72"/>
    <w:rsid w:val="00654414"/>
    <w:rsid w:val="00655D3E"/>
    <w:rsid w:val="006572A8"/>
    <w:rsid w:val="006601A0"/>
    <w:rsid w:val="00661345"/>
    <w:rsid w:val="0066325A"/>
    <w:rsid w:val="00667228"/>
    <w:rsid w:val="00667284"/>
    <w:rsid w:val="00667300"/>
    <w:rsid w:val="00667870"/>
    <w:rsid w:val="00667E33"/>
    <w:rsid w:val="00667F6D"/>
    <w:rsid w:val="0067310C"/>
    <w:rsid w:val="006806CC"/>
    <w:rsid w:val="00680DED"/>
    <w:rsid w:val="00680FBE"/>
    <w:rsid w:val="00681386"/>
    <w:rsid w:val="0068289A"/>
    <w:rsid w:val="00683186"/>
    <w:rsid w:val="0068387D"/>
    <w:rsid w:val="00684A48"/>
    <w:rsid w:val="0068659A"/>
    <w:rsid w:val="00690CCF"/>
    <w:rsid w:val="00691FA5"/>
    <w:rsid w:val="00692443"/>
    <w:rsid w:val="00693CFD"/>
    <w:rsid w:val="006952C8"/>
    <w:rsid w:val="006968FF"/>
    <w:rsid w:val="006A01DC"/>
    <w:rsid w:val="006A0F69"/>
    <w:rsid w:val="006A1944"/>
    <w:rsid w:val="006A38AC"/>
    <w:rsid w:val="006A5BCC"/>
    <w:rsid w:val="006A62BC"/>
    <w:rsid w:val="006A663E"/>
    <w:rsid w:val="006A67DB"/>
    <w:rsid w:val="006B05D7"/>
    <w:rsid w:val="006B0AE7"/>
    <w:rsid w:val="006B2FB8"/>
    <w:rsid w:val="006B72FE"/>
    <w:rsid w:val="006C0948"/>
    <w:rsid w:val="006C0C1B"/>
    <w:rsid w:val="006C38A8"/>
    <w:rsid w:val="006C638F"/>
    <w:rsid w:val="006C6D3E"/>
    <w:rsid w:val="006D28BC"/>
    <w:rsid w:val="006D2C31"/>
    <w:rsid w:val="006D351E"/>
    <w:rsid w:val="006D3DFA"/>
    <w:rsid w:val="006D40B5"/>
    <w:rsid w:val="006D4BC2"/>
    <w:rsid w:val="006D513A"/>
    <w:rsid w:val="006D51DB"/>
    <w:rsid w:val="006D573E"/>
    <w:rsid w:val="006D7E40"/>
    <w:rsid w:val="006E0283"/>
    <w:rsid w:val="006E05EB"/>
    <w:rsid w:val="006E1990"/>
    <w:rsid w:val="006E1A2A"/>
    <w:rsid w:val="006E486C"/>
    <w:rsid w:val="006E5716"/>
    <w:rsid w:val="006E5F74"/>
    <w:rsid w:val="006E7138"/>
    <w:rsid w:val="006E7A65"/>
    <w:rsid w:val="006F21F4"/>
    <w:rsid w:val="006F227F"/>
    <w:rsid w:val="006F3232"/>
    <w:rsid w:val="00700708"/>
    <w:rsid w:val="007007D8"/>
    <w:rsid w:val="007013EA"/>
    <w:rsid w:val="00701911"/>
    <w:rsid w:val="00702FA3"/>
    <w:rsid w:val="0070308E"/>
    <w:rsid w:val="007039D1"/>
    <w:rsid w:val="007042FD"/>
    <w:rsid w:val="00704377"/>
    <w:rsid w:val="00704807"/>
    <w:rsid w:val="00704FB0"/>
    <w:rsid w:val="007074E5"/>
    <w:rsid w:val="00710E95"/>
    <w:rsid w:val="00712188"/>
    <w:rsid w:val="00712839"/>
    <w:rsid w:val="00713541"/>
    <w:rsid w:val="00714F6A"/>
    <w:rsid w:val="00717507"/>
    <w:rsid w:val="00719400"/>
    <w:rsid w:val="00722696"/>
    <w:rsid w:val="007228BA"/>
    <w:rsid w:val="00722E7C"/>
    <w:rsid w:val="0072303D"/>
    <w:rsid w:val="007313A2"/>
    <w:rsid w:val="00732D05"/>
    <w:rsid w:val="0073306B"/>
    <w:rsid w:val="00734B39"/>
    <w:rsid w:val="00737680"/>
    <w:rsid w:val="00740173"/>
    <w:rsid w:val="0074111C"/>
    <w:rsid w:val="0074132E"/>
    <w:rsid w:val="00741494"/>
    <w:rsid w:val="00743D54"/>
    <w:rsid w:val="00745063"/>
    <w:rsid w:val="00747923"/>
    <w:rsid w:val="007479AA"/>
    <w:rsid w:val="00747A48"/>
    <w:rsid w:val="007500D9"/>
    <w:rsid w:val="00751019"/>
    <w:rsid w:val="00751801"/>
    <w:rsid w:val="00751B80"/>
    <w:rsid w:val="00752DAB"/>
    <w:rsid w:val="00755C57"/>
    <w:rsid w:val="00757C00"/>
    <w:rsid w:val="007601D1"/>
    <w:rsid w:val="007632F4"/>
    <w:rsid w:val="00765A2A"/>
    <w:rsid w:val="00766038"/>
    <w:rsid w:val="0077166B"/>
    <w:rsid w:val="00772013"/>
    <w:rsid w:val="007727AF"/>
    <w:rsid w:val="00773FAD"/>
    <w:rsid w:val="007744C2"/>
    <w:rsid w:val="00775C54"/>
    <w:rsid w:val="007776DC"/>
    <w:rsid w:val="00780233"/>
    <w:rsid w:val="00782062"/>
    <w:rsid w:val="007849E1"/>
    <w:rsid w:val="00786724"/>
    <w:rsid w:val="007873EE"/>
    <w:rsid w:val="0078F962"/>
    <w:rsid w:val="00790250"/>
    <w:rsid w:val="00796B3C"/>
    <w:rsid w:val="007A05E1"/>
    <w:rsid w:val="007A209A"/>
    <w:rsid w:val="007A2773"/>
    <w:rsid w:val="007A5015"/>
    <w:rsid w:val="007A6E4C"/>
    <w:rsid w:val="007A79A1"/>
    <w:rsid w:val="007B0D7B"/>
    <w:rsid w:val="007B1C60"/>
    <w:rsid w:val="007B2CDC"/>
    <w:rsid w:val="007B484B"/>
    <w:rsid w:val="007B4A6B"/>
    <w:rsid w:val="007B4C01"/>
    <w:rsid w:val="007B5AC4"/>
    <w:rsid w:val="007C0C2E"/>
    <w:rsid w:val="007C1961"/>
    <w:rsid w:val="007C3ECC"/>
    <w:rsid w:val="007C46C6"/>
    <w:rsid w:val="007C4F9D"/>
    <w:rsid w:val="007C5FAE"/>
    <w:rsid w:val="007C65C4"/>
    <w:rsid w:val="007C748D"/>
    <w:rsid w:val="007C789B"/>
    <w:rsid w:val="007D1373"/>
    <w:rsid w:val="007D5A7D"/>
    <w:rsid w:val="007D616B"/>
    <w:rsid w:val="007D6AEF"/>
    <w:rsid w:val="007D72DC"/>
    <w:rsid w:val="007E0CDB"/>
    <w:rsid w:val="007E16B9"/>
    <w:rsid w:val="007E2F29"/>
    <w:rsid w:val="007E3C1F"/>
    <w:rsid w:val="007E5409"/>
    <w:rsid w:val="007E5780"/>
    <w:rsid w:val="007E7282"/>
    <w:rsid w:val="007F05D9"/>
    <w:rsid w:val="007F09E6"/>
    <w:rsid w:val="007F0A7C"/>
    <w:rsid w:val="007F1B6A"/>
    <w:rsid w:val="007F32D5"/>
    <w:rsid w:val="007F4B7E"/>
    <w:rsid w:val="007F6CA6"/>
    <w:rsid w:val="00802180"/>
    <w:rsid w:val="00802E1A"/>
    <w:rsid w:val="00803281"/>
    <w:rsid w:val="008036C2"/>
    <w:rsid w:val="0080376C"/>
    <w:rsid w:val="00803DEC"/>
    <w:rsid w:val="008041B8"/>
    <w:rsid w:val="0080484C"/>
    <w:rsid w:val="008053AF"/>
    <w:rsid w:val="00805E7B"/>
    <w:rsid w:val="00810490"/>
    <w:rsid w:val="0081219B"/>
    <w:rsid w:val="00812203"/>
    <w:rsid w:val="00813387"/>
    <w:rsid w:val="008134B7"/>
    <w:rsid w:val="00813C38"/>
    <w:rsid w:val="008144C5"/>
    <w:rsid w:val="00815472"/>
    <w:rsid w:val="008162D1"/>
    <w:rsid w:val="00821B65"/>
    <w:rsid w:val="00823273"/>
    <w:rsid w:val="0082565C"/>
    <w:rsid w:val="0082568C"/>
    <w:rsid w:val="00832EAB"/>
    <w:rsid w:val="00840241"/>
    <w:rsid w:val="008410CD"/>
    <w:rsid w:val="0084454E"/>
    <w:rsid w:val="00844C9C"/>
    <w:rsid w:val="008468A5"/>
    <w:rsid w:val="00850663"/>
    <w:rsid w:val="0085068F"/>
    <w:rsid w:val="008507A1"/>
    <w:rsid w:val="00860BB6"/>
    <w:rsid w:val="008616D4"/>
    <w:rsid w:val="00863F31"/>
    <w:rsid w:val="00867F21"/>
    <w:rsid w:val="00872481"/>
    <w:rsid w:val="00872658"/>
    <w:rsid w:val="00873452"/>
    <w:rsid w:val="00874648"/>
    <w:rsid w:val="00874FF7"/>
    <w:rsid w:val="00884ECD"/>
    <w:rsid w:val="0088735C"/>
    <w:rsid w:val="0088DD61"/>
    <w:rsid w:val="00890E89"/>
    <w:rsid w:val="0089497F"/>
    <w:rsid w:val="008950AA"/>
    <w:rsid w:val="00895EFB"/>
    <w:rsid w:val="00896383"/>
    <w:rsid w:val="00897D61"/>
    <w:rsid w:val="008A18DE"/>
    <w:rsid w:val="008A683C"/>
    <w:rsid w:val="008B0B4B"/>
    <w:rsid w:val="008B2DAC"/>
    <w:rsid w:val="008B3039"/>
    <w:rsid w:val="008B4593"/>
    <w:rsid w:val="008B766D"/>
    <w:rsid w:val="008C4591"/>
    <w:rsid w:val="008C6A01"/>
    <w:rsid w:val="008C7D8A"/>
    <w:rsid w:val="008D0415"/>
    <w:rsid w:val="008D20CA"/>
    <w:rsid w:val="008D469F"/>
    <w:rsid w:val="008D5825"/>
    <w:rsid w:val="008E2D4F"/>
    <w:rsid w:val="008E3416"/>
    <w:rsid w:val="008E4765"/>
    <w:rsid w:val="008E4837"/>
    <w:rsid w:val="008E4AD4"/>
    <w:rsid w:val="008E5023"/>
    <w:rsid w:val="008E5221"/>
    <w:rsid w:val="008E573C"/>
    <w:rsid w:val="008E6165"/>
    <w:rsid w:val="008F0B5F"/>
    <w:rsid w:val="008F2264"/>
    <w:rsid w:val="008F2446"/>
    <w:rsid w:val="008F2522"/>
    <w:rsid w:val="008F2ADD"/>
    <w:rsid w:val="008F34AF"/>
    <w:rsid w:val="008F34F3"/>
    <w:rsid w:val="008F35A0"/>
    <w:rsid w:val="008F3D69"/>
    <w:rsid w:val="008F46C1"/>
    <w:rsid w:val="008F4BE8"/>
    <w:rsid w:val="008F5155"/>
    <w:rsid w:val="008F5854"/>
    <w:rsid w:val="008F7251"/>
    <w:rsid w:val="008F7775"/>
    <w:rsid w:val="008F7853"/>
    <w:rsid w:val="00900608"/>
    <w:rsid w:val="00901FD5"/>
    <w:rsid w:val="00901FDF"/>
    <w:rsid w:val="00905226"/>
    <w:rsid w:val="0090695B"/>
    <w:rsid w:val="009071E4"/>
    <w:rsid w:val="009103B3"/>
    <w:rsid w:val="00912D02"/>
    <w:rsid w:val="00913C12"/>
    <w:rsid w:val="00915270"/>
    <w:rsid w:val="009156E5"/>
    <w:rsid w:val="00915E37"/>
    <w:rsid w:val="0091682C"/>
    <w:rsid w:val="009170C7"/>
    <w:rsid w:val="00917114"/>
    <w:rsid w:val="00917DDD"/>
    <w:rsid w:val="00920531"/>
    <w:rsid w:val="009237A1"/>
    <w:rsid w:val="00924E1C"/>
    <w:rsid w:val="009256AE"/>
    <w:rsid w:val="00930962"/>
    <w:rsid w:val="00932220"/>
    <w:rsid w:val="00934BA3"/>
    <w:rsid w:val="00936ADE"/>
    <w:rsid w:val="00941E5F"/>
    <w:rsid w:val="00943F42"/>
    <w:rsid w:val="00945935"/>
    <w:rsid w:val="00945C04"/>
    <w:rsid w:val="0095134B"/>
    <w:rsid w:val="0095201F"/>
    <w:rsid w:val="00956BB4"/>
    <w:rsid w:val="0096068E"/>
    <w:rsid w:val="009623E5"/>
    <w:rsid w:val="009629C9"/>
    <w:rsid w:val="00963270"/>
    <w:rsid w:val="00963552"/>
    <w:rsid w:val="00965A34"/>
    <w:rsid w:val="009666A6"/>
    <w:rsid w:val="009710AB"/>
    <w:rsid w:val="009724F0"/>
    <w:rsid w:val="00972E1E"/>
    <w:rsid w:val="00977047"/>
    <w:rsid w:val="009818F9"/>
    <w:rsid w:val="009829B5"/>
    <w:rsid w:val="00985061"/>
    <w:rsid w:val="00985105"/>
    <w:rsid w:val="00985435"/>
    <w:rsid w:val="00986AA6"/>
    <w:rsid w:val="00987F65"/>
    <w:rsid w:val="00990A20"/>
    <w:rsid w:val="00992310"/>
    <w:rsid w:val="00992612"/>
    <w:rsid w:val="00995B4A"/>
    <w:rsid w:val="009960E2"/>
    <w:rsid w:val="00997670"/>
    <w:rsid w:val="00997673"/>
    <w:rsid w:val="009A23B2"/>
    <w:rsid w:val="009A2840"/>
    <w:rsid w:val="009A3D3F"/>
    <w:rsid w:val="009A51F2"/>
    <w:rsid w:val="009A6304"/>
    <w:rsid w:val="009B1B3F"/>
    <w:rsid w:val="009C1C71"/>
    <w:rsid w:val="009C26CC"/>
    <w:rsid w:val="009C2962"/>
    <w:rsid w:val="009C44CA"/>
    <w:rsid w:val="009D5380"/>
    <w:rsid w:val="009D5BBD"/>
    <w:rsid w:val="009D7C02"/>
    <w:rsid w:val="009E15F8"/>
    <w:rsid w:val="009E3ADD"/>
    <w:rsid w:val="009E43EE"/>
    <w:rsid w:val="009E481B"/>
    <w:rsid w:val="009E4CBA"/>
    <w:rsid w:val="009F13EC"/>
    <w:rsid w:val="009F264D"/>
    <w:rsid w:val="009F3A3A"/>
    <w:rsid w:val="009F4423"/>
    <w:rsid w:val="009F58FF"/>
    <w:rsid w:val="009F6638"/>
    <w:rsid w:val="00A00E3C"/>
    <w:rsid w:val="00A0241B"/>
    <w:rsid w:val="00A0361E"/>
    <w:rsid w:val="00A071B0"/>
    <w:rsid w:val="00A10FC2"/>
    <w:rsid w:val="00A11FCC"/>
    <w:rsid w:val="00A12526"/>
    <w:rsid w:val="00A132CC"/>
    <w:rsid w:val="00A14F25"/>
    <w:rsid w:val="00A15B49"/>
    <w:rsid w:val="00A15C3F"/>
    <w:rsid w:val="00A16C08"/>
    <w:rsid w:val="00A22098"/>
    <w:rsid w:val="00A23B10"/>
    <w:rsid w:val="00A23CD5"/>
    <w:rsid w:val="00A2499C"/>
    <w:rsid w:val="00A24E64"/>
    <w:rsid w:val="00A306D7"/>
    <w:rsid w:val="00A35CFB"/>
    <w:rsid w:val="00A35E8D"/>
    <w:rsid w:val="00A40105"/>
    <w:rsid w:val="00A40C56"/>
    <w:rsid w:val="00A40F59"/>
    <w:rsid w:val="00A4541F"/>
    <w:rsid w:val="00A4615B"/>
    <w:rsid w:val="00A473CF"/>
    <w:rsid w:val="00A50192"/>
    <w:rsid w:val="00A50C92"/>
    <w:rsid w:val="00A524D7"/>
    <w:rsid w:val="00A52A4D"/>
    <w:rsid w:val="00A52CF5"/>
    <w:rsid w:val="00A56AAD"/>
    <w:rsid w:val="00A61FE8"/>
    <w:rsid w:val="00A6304F"/>
    <w:rsid w:val="00A637D7"/>
    <w:rsid w:val="00A647AF"/>
    <w:rsid w:val="00A662ED"/>
    <w:rsid w:val="00A66A8C"/>
    <w:rsid w:val="00A67640"/>
    <w:rsid w:val="00A676A5"/>
    <w:rsid w:val="00A676BA"/>
    <w:rsid w:val="00A67EB5"/>
    <w:rsid w:val="00A70082"/>
    <w:rsid w:val="00A723C2"/>
    <w:rsid w:val="00A73AD2"/>
    <w:rsid w:val="00A75D9C"/>
    <w:rsid w:val="00A760AD"/>
    <w:rsid w:val="00A765CE"/>
    <w:rsid w:val="00A807F2"/>
    <w:rsid w:val="00A808FD"/>
    <w:rsid w:val="00A81005"/>
    <w:rsid w:val="00A8135D"/>
    <w:rsid w:val="00A815A0"/>
    <w:rsid w:val="00A84C2D"/>
    <w:rsid w:val="00A86606"/>
    <w:rsid w:val="00A87F5E"/>
    <w:rsid w:val="00A9131F"/>
    <w:rsid w:val="00A9132D"/>
    <w:rsid w:val="00A918A8"/>
    <w:rsid w:val="00A9372A"/>
    <w:rsid w:val="00A944DF"/>
    <w:rsid w:val="00A944E2"/>
    <w:rsid w:val="00A9668F"/>
    <w:rsid w:val="00A97619"/>
    <w:rsid w:val="00AA1F9D"/>
    <w:rsid w:val="00AA5F06"/>
    <w:rsid w:val="00AA7518"/>
    <w:rsid w:val="00AB006B"/>
    <w:rsid w:val="00AB0635"/>
    <w:rsid w:val="00AB2A4D"/>
    <w:rsid w:val="00AB349A"/>
    <w:rsid w:val="00AB3E53"/>
    <w:rsid w:val="00AC004C"/>
    <w:rsid w:val="00AC0514"/>
    <w:rsid w:val="00AC0C70"/>
    <w:rsid w:val="00AC3B9D"/>
    <w:rsid w:val="00AC6960"/>
    <w:rsid w:val="00AD104F"/>
    <w:rsid w:val="00AD35E5"/>
    <w:rsid w:val="00AD38BD"/>
    <w:rsid w:val="00AD3A41"/>
    <w:rsid w:val="00AD5566"/>
    <w:rsid w:val="00AD66AC"/>
    <w:rsid w:val="00AD7238"/>
    <w:rsid w:val="00AD7C68"/>
    <w:rsid w:val="00AE0BE2"/>
    <w:rsid w:val="00AE29FE"/>
    <w:rsid w:val="00AE4D68"/>
    <w:rsid w:val="00AE61A1"/>
    <w:rsid w:val="00AF0FC8"/>
    <w:rsid w:val="00AF2109"/>
    <w:rsid w:val="00AF3476"/>
    <w:rsid w:val="00AF3D81"/>
    <w:rsid w:val="00AF4CBC"/>
    <w:rsid w:val="00AF56CE"/>
    <w:rsid w:val="00AF6BD3"/>
    <w:rsid w:val="00AF6F6D"/>
    <w:rsid w:val="00B01405"/>
    <w:rsid w:val="00B01868"/>
    <w:rsid w:val="00B03BB6"/>
    <w:rsid w:val="00B03DDD"/>
    <w:rsid w:val="00B050C7"/>
    <w:rsid w:val="00B0609B"/>
    <w:rsid w:val="00B11814"/>
    <w:rsid w:val="00B11D92"/>
    <w:rsid w:val="00B13C6E"/>
    <w:rsid w:val="00B1545D"/>
    <w:rsid w:val="00B170A1"/>
    <w:rsid w:val="00B20651"/>
    <w:rsid w:val="00B20B81"/>
    <w:rsid w:val="00B22A47"/>
    <w:rsid w:val="00B231D9"/>
    <w:rsid w:val="00B32ABF"/>
    <w:rsid w:val="00B34B33"/>
    <w:rsid w:val="00B34F63"/>
    <w:rsid w:val="00B37DA5"/>
    <w:rsid w:val="00B41D68"/>
    <w:rsid w:val="00B43F1F"/>
    <w:rsid w:val="00B454E6"/>
    <w:rsid w:val="00B45EB3"/>
    <w:rsid w:val="00B5066A"/>
    <w:rsid w:val="00B53DD6"/>
    <w:rsid w:val="00B53FA3"/>
    <w:rsid w:val="00B5436D"/>
    <w:rsid w:val="00B54436"/>
    <w:rsid w:val="00B55F47"/>
    <w:rsid w:val="00B5754B"/>
    <w:rsid w:val="00B62861"/>
    <w:rsid w:val="00B649F9"/>
    <w:rsid w:val="00B6508E"/>
    <w:rsid w:val="00B65C58"/>
    <w:rsid w:val="00B70BD4"/>
    <w:rsid w:val="00B73EA3"/>
    <w:rsid w:val="00B746EA"/>
    <w:rsid w:val="00B754F4"/>
    <w:rsid w:val="00B76837"/>
    <w:rsid w:val="00B77C1D"/>
    <w:rsid w:val="00B808B1"/>
    <w:rsid w:val="00B80A61"/>
    <w:rsid w:val="00B82DF8"/>
    <w:rsid w:val="00B832C6"/>
    <w:rsid w:val="00B83558"/>
    <w:rsid w:val="00B84840"/>
    <w:rsid w:val="00B90266"/>
    <w:rsid w:val="00B90CC1"/>
    <w:rsid w:val="00B92879"/>
    <w:rsid w:val="00B92E68"/>
    <w:rsid w:val="00BA26E9"/>
    <w:rsid w:val="00BA4925"/>
    <w:rsid w:val="00BA5A8E"/>
    <w:rsid w:val="00BA6D5F"/>
    <w:rsid w:val="00BA6F86"/>
    <w:rsid w:val="00BB26F1"/>
    <w:rsid w:val="00BB39C8"/>
    <w:rsid w:val="00BB49A6"/>
    <w:rsid w:val="00BB55B7"/>
    <w:rsid w:val="00BB5746"/>
    <w:rsid w:val="00BB6779"/>
    <w:rsid w:val="00BB7DE8"/>
    <w:rsid w:val="00BC0227"/>
    <w:rsid w:val="00BC1438"/>
    <w:rsid w:val="00BC17F8"/>
    <w:rsid w:val="00BC2550"/>
    <w:rsid w:val="00BC4FB1"/>
    <w:rsid w:val="00BC796C"/>
    <w:rsid w:val="00BC7E87"/>
    <w:rsid w:val="00BD1E99"/>
    <w:rsid w:val="00BD389C"/>
    <w:rsid w:val="00BD56D5"/>
    <w:rsid w:val="00BD5FBD"/>
    <w:rsid w:val="00BD6047"/>
    <w:rsid w:val="00BD7804"/>
    <w:rsid w:val="00BE18B0"/>
    <w:rsid w:val="00BE2771"/>
    <w:rsid w:val="00BE3088"/>
    <w:rsid w:val="00BF18DE"/>
    <w:rsid w:val="00BF2D33"/>
    <w:rsid w:val="00BF44A7"/>
    <w:rsid w:val="00BF4559"/>
    <w:rsid w:val="00BF582F"/>
    <w:rsid w:val="00BF60AD"/>
    <w:rsid w:val="00BF65B0"/>
    <w:rsid w:val="00C031B5"/>
    <w:rsid w:val="00C039C5"/>
    <w:rsid w:val="00C03C62"/>
    <w:rsid w:val="00C05EFF"/>
    <w:rsid w:val="00C06CA0"/>
    <w:rsid w:val="00C07EF1"/>
    <w:rsid w:val="00C115D2"/>
    <w:rsid w:val="00C2110E"/>
    <w:rsid w:val="00C21566"/>
    <w:rsid w:val="00C23371"/>
    <w:rsid w:val="00C23D44"/>
    <w:rsid w:val="00C24B30"/>
    <w:rsid w:val="00C252AC"/>
    <w:rsid w:val="00C3072A"/>
    <w:rsid w:val="00C30FD4"/>
    <w:rsid w:val="00C31ECF"/>
    <w:rsid w:val="00C32FDD"/>
    <w:rsid w:val="00C35C82"/>
    <w:rsid w:val="00C405A3"/>
    <w:rsid w:val="00C4360F"/>
    <w:rsid w:val="00C441A4"/>
    <w:rsid w:val="00C441B3"/>
    <w:rsid w:val="00C45B64"/>
    <w:rsid w:val="00C525EE"/>
    <w:rsid w:val="00C53173"/>
    <w:rsid w:val="00C5340F"/>
    <w:rsid w:val="00C57FA9"/>
    <w:rsid w:val="00C606D7"/>
    <w:rsid w:val="00C625FC"/>
    <w:rsid w:val="00C71D68"/>
    <w:rsid w:val="00C72ACD"/>
    <w:rsid w:val="00C733C0"/>
    <w:rsid w:val="00C73952"/>
    <w:rsid w:val="00C7662A"/>
    <w:rsid w:val="00C807E0"/>
    <w:rsid w:val="00C80DD7"/>
    <w:rsid w:val="00C824FC"/>
    <w:rsid w:val="00C82722"/>
    <w:rsid w:val="00C82CF7"/>
    <w:rsid w:val="00C86FBA"/>
    <w:rsid w:val="00C902AD"/>
    <w:rsid w:val="00C917BC"/>
    <w:rsid w:val="00C91D84"/>
    <w:rsid w:val="00C92643"/>
    <w:rsid w:val="00C95308"/>
    <w:rsid w:val="00C96698"/>
    <w:rsid w:val="00C96E1E"/>
    <w:rsid w:val="00CA1921"/>
    <w:rsid w:val="00CA351A"/>
    <w:rsid w:val="00CA3E9A"/>
    <w:rsid w:val="00CA486B"/>
    <w:rsid w:val="00CA4D65"/>
    <w:rsid w:val="00CA5DD1"/>
    <w:rsid w:val="00CA6B81"/>
    <w:rsid w:val="00CB26CD"/>
    <w:rsid w:val="00CB4B00"/>
    <w:rsid w:val="00CB4D7A"/>
    <w:rsid w:val="00CB52B0"/>
    <w:rsid w:val="00CB6BD3"/>
    <w:rsid w:val="00CB6C8D"/>
    <w:rsid w:val="00CB7AF8"/>
    <w:rsid w:val="00CC3458"/>
    <w:rsid w:val="00CC5E87"/>
    <w:rsid w:val="00CC6FDA"/>
    <w:rsid w:val="00CD2E04"/>
    <w:rsid w:val="00CD3FAA"/>
    <w:rsid w:val="00CD6127"/>
    <w:rsid w:val="00CD76E5"/>
    <w:rsid w:val="00CE2C96"/>
    <w:rsid w:val="00CE6219"/>
    <w:rsid w:val="00CE689E"/>
    <w:rsid w:val="00CE742F"/>
    <w:rsid w:val="00CE7661"/>
    <w:rsid w:val="00CE7728"/>
    <w:rsid w:val="00CF0D98"/>
    <w:rsid w:val="00CF2306"/>
    <w:rsid w:val="00CF3717"/>
    <w:rsid w:val="00CF3F92"/>
    <w:rsid w:val="00CF53A5"/>
    <w:rsid w:val="00CF56F0"/>
    <w:rsid w:val="00CF59B7"/>
    <w:rsid w:val="00CF73BA"/>
    <w:rsid w:val="00CF7B79"/>
    <w:rsid w:val="00CF7F4B"/>
    <w:rsid w:val="00D05557"/>
    <w:rsid w:val="00D06292"/>
    <w:rsid w:val="00D06EF0"/>
    <w:rsid w:val="00D0BD14"/>
    <w:rsid w:val="00D16EFC"/>
    <w:rsid w:val="00D21578"/>
    <w:rsid w:val="00D21CDE"/>
    <w:rsid w:val="00D2279F"/>
    <w:rsid w:val="00D23C6E"/>
    <w:rsid w:val="00D24454"/>
    <w:rsid w:val="00D26AA2"/>
    <w:rsid w:val="00D274D0"/>
    <w:rsid w:val="00D27DB3"/>
    <w:rsid w:val="00D318AC"/>
    <w:rsid w:val="00D34FB0"/>
    <w:rsid w:val="00D3545A"/>
    <w:rsid w:val="00D3576C"/>
    <w:rsid w:val="00D358EB"/>
    <w:rsid w:val="00D36070"/>
    <w:rsid w:val="00D374FA"/>
    <w:rsid w:val="00D41327"/>
    <w:rsid w:val="00D4296F"/>
    <w:rsid w:val="00D44226"/>
    <w:rsid w:val="00D4534F"/>
    <w:rsid w:val="00D45CD6"/>
    <w:rsid w:val="00D5025B"/>
    <w:rsid w:val="00D5115E"/>
    <w:rsid w:val="00D56650"/>
    <w:rsid w:val="00D579FE"/>
    <w:rsid w:val="00D57D08"/>
    <w:rsid w:val="00D57FEC"/>
    <w:rsid w:val="00D60CB9"/>
    <w:rsid w:val="00D61628"/>
    <w:rsid w:val="00D65989"/>
    <w:rsid w:val="00D70790"/>
    <w:rsid w:val="00D72F30"/>
    <w:rsid w:val="00D756EA"/>
    <w:rsid w:val="00D76DCF"/>
    <w:rsid w:val="00D77127"/>
    <w:rsid w:val="00D77207"/>
    <w:rsid w:val="00D779C1"/>
    <w:rsid w:val="00D85AB3"/>
    <w:rsid w:val="00D900EB"/>
    <w:rsid w:val="00D90370"/>
    <w:rsid w:val="00D924DE"/>
    <w:rsid w:val="00D925D8"/>
    <w:rsid w:val="00D926A7"/>
    <w:rsid w:val="00D933A3"/>
    <w:rsid w:val="00D938DB"/>
    <w:rsid w:val="00D93F26"/>
    <w:rsid w:val="00D94280"/>
    <w:rsid w:val="00D94B1B"/>
    <w:rsid w:val="00D96130"/>
    <w:rsid w:val="00D96279"/>
    <w:rsid w:val="00D97794"/>
    <w:rsid w:val="00D97B58"/>
    <w:rsid w:val="00D97E63"/>
    <w:rsid w:val="00DA0EFA"/>
    <w:rsid w:val="00DA1801"/>
    <w:rsid w:val="00DA1F2B"/>
    <w:rsid w:val="00DA21E0"/>
    <w:rsid w:val="00DA2318"/>
    <w:rsid w:val="00DA3295"/>
    <w:rsid w:val="00DA5429"/>
    <w:rsid w:val="00DA68C7"/>
    <w:rsid w:val="00DB1DDF"/>
    <w:rsid w:val="00DB2B11"/>
    <w:rsid w:val="00DB34A9"/>
    <w:rsid w:val="00DB6166"/>
    <w:rsid w:val="00DB7044"/>
    <w:rsid w:val="00DB7E37"/>
    <w:rsid w:val="00DC2209"/>
    <w:rsid w:val="00DC2378"/>
    <w:rsid w:val="00DC5C61"/>
    <w:rsid w:val="00DC60F6"/>
    <w:rsid w:val="00DC6193"/>
    <w:rsid w:val="00DD0443"/>
    <w:rsid w:val="00DD0ABD"/>
    <w:rsid w:val="00DE077F"/>
    <w:rsid w:val="00DE2AF5"/>
    <w:rsid w:val="00DE6243"/>
    <w:rsid w:val="00DF177B"/>
    <w:rsid w:val="00DF5F63"/>
    <w:rsid w:val="00DF6314"/>
    <w:rsid w:val="00E00714"/>
    <w:rsid w:val="00E02B53"/>
    <w:rsid w:val="00E03773"/>
    <w:rsid w:val="00E03F25"/>
    <w:rsid w:val="00E04075"/>
    <w:rsid w:val="00E10AB9"/>
    <w:rsid w:val="00E136BC"/>
    <w:rsid w:val="00E14F54"/>
    <w:rsid w:val="00E218BF"/>
    <w:rsid w:val="00E22E50"/>
    <w:rsid w:val="00E24F8B"/>
    <w:rsid w:val="00E2542F"/>
    <w:rsid w:val="00E2573C"/>
    <w:rsid w:val="00E25D04"/>
    <w:rsid w:val="00E25FA1"/>
    <w:rsid w:val="00E26E31"/>
    <w:rsid w:val="00E2F6EA"/>
    <w:rsid w:val="00E3160D"/>
    <w:rsid w:val="00E32C0C"/>
    <w:rsid w:val="00E33285"/>
    <w:rsid w:val="00E339F7"/>
    <w:rsid w:val="00E34244"/>
    <w:rsid w:val="00E34F06"/>
    <w:rsid w:val="00E35ED5"/>
    <w:rsid w:val="00E436AE"/>
    <w:rsid w:val="00E43B32"/>
    <w:rsid w:val="00E445C0"/>
    <w:rsid w:val="00E46602"/>
    <w:rsid w:val="00E5101F"/>
    <w:rsid w:val="00E521D1"/>
    <w:rsid w:val="00E5227C"/>
    <w:rsid w:val="00E52B42"/>
    <w:rsid w:val="00E546E0"/>
    <w:rsid w:val="00E54DC5"/>
    <w:rsid w:val="00E561FC"/>
    <w:rsid w:val="00E5638D"/>
    <w:rsid w:val="00E564BB"/>
    <w:rsid w:val="00E6192C"/>
    <w:rsid w:val="00E629E5"/>
    <w:rsid w:val="00E75FC0"/>
    <w:rsid w:val="00E76267"/>
    <w:rsid w:val="00E765E8"/>
    <w:rsid w:val="00E76927"/>
    <w:rsid w:val="00E76BD3"/>
    <w:rsid w:val="00E80914"/>
    <w:rsid w:val="00E80F63"/>
    <w:rsid w:val="00E82FB0"/>
    <w:rsid w:val="00E83F66"/>
    <w:rsid w:val="00E855B1"/>
    <w:rsid w:val="00E87C50"/>
    <w:rsid w:val="00E87DC7"/>
    <w:rsid w:val="00E87F56"/>
    <w:rsid w:val="00E917E0"/>
    <w:rsid w:val="00E949BE"/>
    <w:rsid w:val="00E95FD8"/>
    <w:rsid w:val="00EA0BC4"/>
    <w:rsid w:val="00EA3126"/>
    <w:rsid w:val="00EA4A14"/>
    <w:rsid w:val="00EA60D8"/>
    <w:rsid w:val="00EA6A3C"/>
    <w:rsid w:val="00EA7F20"/>
    <w:rsid w:val="00EB0305"/>
    <w:rsid w:val="00EB3290"/>
    <w:rsid w:val="00EB4088"/>
    <w:rsid w:val="00EB5042"/>
    <w:rsid w:val="00EB6BB2"/>
    <w:rsid w:val="00EB7B83"/>
    <w:rsid w:val="00EC0D7C"/>
    <w:rsid w:val="00EC23D9"/>
    <w:rsid w:val="00EC42AC"/>
    <w:rsid w:val="00EC4BA3"/>
    <w:rsid w:val="00EC51A0"/>
    <w:rsid w:val="00EC5BCC"/>
    <w:rsid w:val="00ED03B3"/>
    <w:rsid w:val="00ED0D40"/>
    <w:rsid w:val="00ED13AE"/>
    <w:rsid w:val="00ED1B0D"/>
    <w:rsid w:val="00ED2996"/>
    <w:rsid w:val="00ED4D68"/>
    <w:rsid w:val="00ED7184"/>
    <w:rsid w:val="00EE1155"/>
    <w:rsid w:val="00EE20D9"/>
    <w:rsid w:val="00EE2C5E"/>
    <w:rsid w:val="00EE3AD7"/>
    <w:rsid w:val="00EF0857"/>
    <w:rsid w:val="00EF0CE6"/>
    <w:rsid w:val="00EF1543"/>
    <w:rsid w:val="00EF2808"/>
    <w:rsid w:val="00EF3574"/>
    <w:rsid w:val="00EF47C0"/>
    <w:rsid w:val="00EF4BE6"/>
    <w:rsid w:val="00EF5ED2"/>
    <w:rsid w:val="00F02217"/>
    <w:rsid w:val="00F03D33"/>
    <w:rsid w:val="00F0410F"/>
    <w:rsid w:val="00F04F26"/>
    <w:rsid w:val="00F05B86"/>
    <w:rsid w:val="00F0642F"/>
    <w:rsid w:val="00F079CF"/>
    <w:rsid w:val="00F10A51"/>
    <w:rsid w:val="00F1124E"/>
    <w:rsid w:val="00F11847"/>
    <w:rsid w:val="00F11A29"/>
    <w:rsid w:val="00F11D8E"/>
    <w:rsid w:val="00F12BBF"/>
    <w:rsid w:val="00F12FBD"/>
    <w:rsid w:val="00F14EE2"/>
    <w:rsid w:val="00F15A8C"/>
    <w:rsid w:val="00F1648A"/>
    <w:rsid w:val="00F1685D"/>
    <w:rsid w:val="00F21292"/>
    <w:rsid w:val="00F21EEE"/>
    <w:rsid w:val="00F22731"/>
    <w:rsid w:val="00F22EBE"/>
    <w:rsid w:val="00F239CD"/>
    <w:rsid w:val="00F26FA5"/>
    <w:rsid w:val="00F30095"/>
    <w:rsid w:val="00F30287"/>
    <w:rsid w:val="00F3076E"/>
    <w:rsid w:val="00F30E29"/>
    <w:rsid w:val="00F31768"/>
    <w:rsid w:val="00F31A01"/>
    <w:rsid w:val="00F328FD"/>
    <w:rsid w:val="00F331A7"/>
    <w:rsid w:val="00F353AE"/>
    <w:rsid w:val="00F40BE9"/>
    <w:rsid w:val="00F41C22"/>
    <w:rsid w:val="00F44CDD"/>
    <w:rsid w:val="00F47F31"/>
    <w:rsid w:val="00F508C8"/>
    <w:rsid w:val="00F50FA7"/>
    <w:rsid w:val="00F50FAD"/>
    <w:rsid w:val="00F51EED"/>
    <w:rsid w:val="00F54DBC"/>
    <w:rsid w:val="00F55470"/>
    <w:rsid w:val="00F56ADD"/>
    <w:rsid w:val="00F60016"/>
    <w:rsid w:val="00F600C2"/>
    <w:rsid w:val="00F61899"/>
    <w:rsid w:val="00F64BB3"/>
    <w:rsid w:val="00F65DCC"/>
    <w:rsid w:val="00F72871"/>
    <w:rsid w:val="00F72C96"/>
    <w:rsid w:val="00F77073"/>
    <w:rsid w:val="00F81333"/>
    <w:rsid w:val="00F81D98"/>
    <w:rsid w:val="00F8213F"/>
    <w:rsid w:val="00F82F72"/>
    <w:rsid w:val="00F83395"/>
    <w:rsid w:val="00F84E3F"/>
    <w:rsid w:val="00F86322"/>
    <w:rsid w:val="00F87B1B"/>
    <w:rsid w:val="00F905D5"/>
    <w:rsid w:val="00F936DC"/>
    <w:rsid w:val="00F9461B"/>
    <w:rsid w:val="00F94944"/>
    <w:rsid w:val="00F9675F"/>
    <w:rsid w:val="00FA0685"/>
    <w:rsid w:val="00FA0CFE"/>
    <w:rsid w:val="00FA10BD"/>
    <w:rsid w:val="00FA122B"/>
    <w:rsid w:val="00FA317E"/>
    <w:rsid w:val="00FA387A"/>
    <w:rsid w:val="00FA5AF7"/>
    <w:rsid w:val="00FB24B0"/>
    <w:rsid w:val="00FB2B8F"/>
    <w:rsid w:val="00FB37D2"/>
    <w:rsid w:val="00FB3F22"/>
    <w:rsid w:val="00FB49D0"/>
    <w:rsid w:val="00FB6B13"/>
    <w:rsid w:val="00FB6E52"/>
    <w:rsid w:val="00FB7125"/>
    <w:rsid w:val="00FC100B"/>
    <w:rsid w:val="00FC3AAF"/>
    <w:rsid w:val="00FC5F89"/>
    <w:rsid w:val="00FC7A5C"/>
    <w:rsid w:val="00FD03AB"/>
    <w:rsid w:val="00FD59C8"/>
    <w:rsid w:val="00FD7FF7"/>
    <w:rsid w:val="00FE05E1"/>
    <w:rsid w:val="00FE157C"/>
    <w:rsid w:val="00FE1BF2"/>
    <w:rsid w:val="00FE2A5A"/>
    <w:rsid w:val="00FE6EE9"/>
    <w:rsid w:val="00FE6EF4"/>
    <w:rsid w:val="00FF25AA"/>
    <w:rsid w:val="00FF4201"/>
    <w:rsid w:val="00FF4313"/>
    <w:rsid w:val="00FF72F6"/>
    <w:rsid w:val="00FF734A"/>
    <w:rsid w:val="01160B77"/>
    <w:rsid w:val="011B88F5"/>
    <w:rsid w:val="012D1BDA"/>
    <w:rsid w:val="01434A39"/>
    <w:rsid w:val="0157D68A"/>
    <w:rsid w:val="0168CC21"/>
    <w:rsid w:val="0169BACA"/>
    <w:rsid w:val="016A04F2"/>
    <w:rsid w:val="01752BC2"/>
    <w:rsid w:val="01C2103F"/>
    <w:rsid w:val="01C2388E"/>
    <w:rsid w:val="01C868BC"/>
    <w:rsid w:val="01CF7B82"/>
    <w:rsid w:val="01D2A7C7"/>
    <w:rsid w:val="01F69B06"/>
    <w:rsid w:val="01FD00FC"/>
    <w:rsid w:val="020CD17A"/>
    <w:rsid w:val="0225D027"/>
    <w:rsid w:val="026C2914"/>
    <w:rsid w:val="027A79B5"/>
    <w:rsid w:val="029267C1"/>
    <w:rsid w:val="02BE6A93"/>
    <w:rsid w:val="02C70536"/>
    <w:rsid w:val="02CA0497"/>
    <w:rsid w:val="02D9CBEA"/>
    <w:rsid w:val="02DC4424"/>
    <w:rsid w:val="02F08356"/>
    <w:rsid w:val="03181E16"/>
    <w:rsid w:val="034E9EF4"/>
    <w:rsid w:val="0354A79B"/>
    <w:rsid w:val="035530E7"/>
    <w:rsid w:val="0363BEB3"/>
    <w:rsid w:val="03693F86"/>
    <w:rsid w:val="037C5E63"/>
    <w:rsid w:val="039346F7"/>
    <w:rsid w:val="0398F992"/>
    <w:rsid w:val="039A69B8"/>
    <w:rsid w:val="039DF285"/>
    <w:rsid w:val="03A5ED65"/>
    <w:rsid w:val="03B2D25D"/>
    <w:rsid w:val="03BFB98F"/>
    <w:rsid w:val="03C18EB5"/>
    <w:rsid w:val="03CC9B2C"/>
    <w:rsid w:val="03DF7EC3"/>
    <w:rsid w:val="03E0F3FD"/>
    <w:rsid w:val="03E13240"/>
    <w:rsid w:val="03F4CB84"/>
    <w:rsid w:val="04078C9D"/>
    <w:rsid w:val="0428C258"/>
    <w:rsid w:val="04437D14"/>
    <w:rsid w:val="0462B738"/>
    <w:rsid w:val="048CBEB9"/>
    <w:rsid w:val="04925CBE"/>
    <w:rsid w:val="04947E82"/>
    <w:rsid w:val="04A78162"/>
    <w:rsid w:val="04A79818"/>
    <w:rsid w:val="04B01A53"/>
    <w:rsid w:val="04BB6DAF"/>
    <w:rsid w:val="04DCEF4E"/>
    <w:rsid w:val="04E266B7"/>
    <w:rsid w:val="04F438B7"/>
    <w:rsid w:val="04FFA2C8"/>
    <w:rsid w:val="050CD11C"/>
    <w:rsid w:val="0532DA4B"/>
    <w:rsid w:val="0536E52A"/>
    <w:rsid w:val="053ECA65"/>
    <w:rsid w:val="05589952"/>
    <w:rsid w:val="056E9C11"/>
    <w:rsid w:val="0578ACFE"/>
    <w:rsid w:val="05803E49"/>
    <w:rsid w:val="059B8554"/>
    <w:rsid w:val="05ABD4A5"/>
    <w:rsid w:val="05C123EE"/>
    <w:rsid w:val="060F305C"/>
    <w:rsid w:val="0612B0A2"/>
    <w:rsid w:val="0616091A"/>
    <w:rsid w:val="061CAAFB"/>
    <w:rsid w:val="06257F46"/>
    <w:rsid w:val="062754D5"/>
    <w:rsid w:val="0636759D"/>
    <w:rsid w:val="063B43DE"/>
    <w:rsid w:val="06744554"/>
    <w:rsid w:val="06960053"/>
    <w:rsid w:val="06AAB5F8"/>
    <w:rsid w:val="06C131AD"/>
    <w:rsid w:val="06E0E64C"/>
    <w:rsid w:val="06EBDC9D"/>
    <w:rsid w:val="06F0B3A7"/>
    <w:rsid w:val="0706D473"/>
    <w:rsid w:val="074AFC0B"/>
    <w:rsid w:val="075B8D94"/>
    <w:rsid w:val="0761A71F"/>
    <w:rsid w:val="076D295E"/>
    <w:rsid w:val="0772ED4E"/>
    <w:rsid w:val="07753617"/>
    <w:rsid w:val="0787C8BD"/>
    <w:rsid w:val="07A37406"/>
    <w:rsid w:val="07CE8213"/>
    <w:rsid w:val="07D31EA5"/>
    <w:rsid w:val="07D561B8"/>
    <w:rsid w:val="07EAD917"/>
    <w:rsid w:val="0823BE35"/>
    <w:rsid w:val="08274A11"/>
    <w:rsid w:val="08363367"/>
    <w:rsid w:val="0843897D"/>
    <w:rsid w:val="0855A3D7"/>
    <w:rsid w:val="0875B53F"/>
    <w:rsid w:val="089ABC3B"/>
    <w:rsid w:val="08A43521"/>
    <w:rsid w:val="08AAA3FB"/>
    <w:rsid w:val="08BEBAB3"/>
    <w:rsid w:val="08C79BD5"/>
    <w:rsid w:val="08D51FBB"/>
    <w:rsid w:val="08FD8614"/>
    <w:rsid w:val="090F366D"/>
    <w:rsid w:val="0915955B"/>
    <w:rsid w:val="091BF055"/>
    <w:rsid w:val="093E2DD8"/>
    <w:rsid w:val="09436F5B"/>
    <w:rsid w:val="0947C142"/>
    <w:rsid w:val="094F0A25"/>
    <w:rsid w:val="09716FD9"/>
    <w:rsid w:val="0971B347"/>
    <w:rsid w:val="0976DED3"/>
    <w:rsid w:val="097B96DD"/>
    <w:rsid w:val="0999DF22"/>
    <w:rsid w:val="09D44D0E"/>
    <w:rsid w:val="09D577B5"/>
    <w:rsid w:val="09DC7A53"/>
    <w:rsid w:val="09E6F73B"/>
    <w:rsid w:val="09F23CBF"/>
    <w:rsid w:val="0A027C0A"/>
    <w:rsid w:val="0A06CC4F"/>
    <w:rsid w:val="0A22E467"/>
    <w:rsid w:val="0A34A73F"/>
    <w:rsid w:val="0A79CAED"/>
    <w:rsid w:val="0A7CDCD5"/>
    <w:rsid w:val="0A9318BA"/>
    <w:rsid w:val="0AA3321B"/>
    <w:rsid w:val="0AA415DD"/>
    <w:rsid w:val="0AA4A6A2"/>
    <w:rsid w:val="0AC75F1B"/>
    <w:rsid w:val="0AD500AE"/>
    <w:rsid w:val="0AF2E065"/>
    <w:rsid w:val="0B35A166"/>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80DC52"/>
    <w:rsid w:val="0C86C3B7"/>
    <w:rsid w:val="0C98A7D8"/>
    <w:rsid w:val="0CAB5BD6"/>
    <w:rsid w:val="0CBA6F0C"/>
    <w:rsid w:val="0CCCFEA8"/>
    <w:rsid w:val="0CCF3E60"/>
    <w:rsid w:val="0D17CA17"/>
    <w:rsid w:val="0D1E02BC"/>
    <w:rsid w:val="0D255023"/>
    <w:rsid w:val="0D35B663"/>
    <w:rsid w:val="0D54B990"/>
    <w:rsid w:val="0D5C2E87"/>
    <w:rsid w:val="0D8BF98E"/>
    <w:rsid w:val="0D960DC0"/>
    <w:rsid w:val="0DA40603"/>
    <w:rsid w:val="0DABA1BB"/>
    <w:rsid w:val="0DB50D42"/>
    <w:rsid w:val="0DBB597F"/>
    <w:rsid w:val="0DD4A4F5"/>
    <w:rsid w:val="0DF4BBC4"/>
    <w:rsid w:val="0DFF2B4C"/>
    <w:rsid w:val="0E2A6F62"/>
    <w:rsid w:val="0E2BC809"/>
    <w:rsid w:val="0E58C2F0"/>
    <w:rsid w:val="0E71368B"/>
    <w:rsid w:val="0E80DEC5"/>
    <w:rsid w:val="0E87EB38"/>
    <w:rsid w:val="0E9A28CF"/>
    <w:rsid w:val="0E9B89AD"/>
    <w:rsid w:val="0EA74668"/>
    <w:rsid w:val="0EB0CF0C"/>
    <w:rsid w:val="0EC9221B"/>
    <w:rsid w:val="0ECCFB5D"/>
    <w:rsid w:val="0EEC77F6"/>
    <w:rsid w:val="0EF3363F"/>
    <w:rsid w:val="0EFFA5D6"/>
    <w:rsid w:val="0F0ADE0C"/>
    <w:rsid w:val="0F257CEA"/>
    <w:rsid w:val="0F323012"/>
    <w:rsid w:val="0F3A8CBE"/>
    <w:rsid w:val="0F5AAA6E"/>
    <w:rsid w:val="0F5C203A"/>
    <w:rsid w:val="0F606E59"/>
    <w:rsid w:val="0F785E40"/>
    <w:rsid w:val="0F78AC04"/>
    <w:rsid w:val="0F8FAB0F"/>
    <w:rsid w:val="0F9E4459"/>
    <w:rsid w:val="0FA2B586"/>
    <w:rsid w:val="0FB13AAC"/>
    <w:rsid w:val="0FB535CA"/>
    <w:rsid w:val="0FB94F62"/>
    <w:rsid w:val="0FC25925"/>
    <w:rsid w:val="0FCD2371"/>
    <w:rsid w:val="1000F5A6"/>
    <w:rsid w:val="1007F3DB"/>
    <w:rsid w:val="10268568"/>
    <w:rsid w:val="102B7C3C"/>
    <w:rsid w:val="1048CD02"/>
    <w:rsid w:val="1055D276"/>
    <w:rsid w:val="1059BF75"/>
    <w:rsid w:val="1062FD6F"/>
    <w:rsid w:val="1072C097"/>
    <w:rsid w:val="10825BCD"/>
    <w:rsid w:val="109817A4"/>
    <w:rsid w:val="109E4F92"/>
    <w:rsid w:val="10A9C7A3"/>
    <w:rsid w:val="10AFDD92"/>
    <w:rsid w:val="10B49804"/>
    <w:rsid w:val="10BADB1F"/>
    <w:rsid w:val="10DEF5D7"/>
    <w:rsid w:val="10EBE87E"/>
    <w:rsid w:val="10FA6037"/>
    <w:rsid w:val="110EBD17"/>
    <w:rsid w:val="1146519E"/>
    <w:rsid w:val="115E5822"/>
    <w:rsid w:val="11797980"/>
    <w:rsid w:val="117F91CE"/>
    <w:rsid w:val="119A0C05"/>
    <w:rsid w:val="11A93728"/>
    <w:rsid w:val="11B337FE"/>
    <w:rsid w:val="11DC14A9"/>
    <w:rsid w:val="1201F741"/>
    <w:rsid w:val="12065D05"/>
    <w:rsid w:val="1214AF1A"/>
    <w:rsid w:val="122095AA"/>
    <w:rsid w:val="1221C07D"/>
    <w:rsid w:val="1225B1BF"/>
    <w:rsid w:val="1240E4C2"/>
    <w:rsid w:val="125737C4"/>
    <w:rsid w:val="125AE280"/>
    <w:rsid w:val="125FA2A7"/>
    <w:rsid w:val="125FC541"/>
    <w:rsid w:val="1279F9BC"/>
    <w:rsid w:val="128571B0"/>
    <w:rsid w:val="129A60A7"/>
    <w:rsid w:val="12A3BC06"/>
    <w:rsid w:val="12A7A1DE"/>
    <w:rsid w:val="12ABC58F"/>
    <w:rsid w:val="12BAB145"/>
    <w:rsid w:val="12C5ABBD"/>
    <w:rsid w:val="12CF9F0E"/>
    <w:rsid w:val="12DD5A8A"/>
    <w:rsid w:val="12FCCA49"/>
    <w:rsid w:val="130DCEDB"/>
    <w:rsid w:val="133269C2"/>
    <w:rsid w:val="13546E34"/>
    <w:rsid w:val="1357BA46"/>
    <w:rsid w:val="1376A0BB"/>
    <w:rsid w:val="138EE656"/>
    <w:rsid w:val="139D3676"/>
    <w:rsid w:val="13A61FAE"/>
    <w:rsid w:val="13B7FE53"/>
    <w:rsid w:val="13BD7697"/>
    <w:rsid w:val="13F85CC2"/>
    <w:rsid w:val="13F88D59"/>
    <w:rsid w:val="14003DCD"/>
    <w:rsid w:val="140175B8"/>
    <w:rsid w:val="14050EC9"/>
    <w:rsid w:val="144104E6"/>
    <w:rsid w:val="1467DD66"/>
    <w:rsid w:val="14737EE6"/>
    <w:rsid w:val="148EC53B"/>
    <w:rsid w:val="148F1938"/>
    <w:rsid w:val="14ACB19F"/>
    <w:rsid w:val="14B78B70"/>
    <w:rsid w:val="14BD8ABB"/>
    <w:rsid w:val="14EDB285"/>
    <w:rsid w:val="14EE0F02"/>
    <w:rsid w:val="14FDBAE6"/>
    <w:rsid w:val="1515F84C"/>
    <w:rsid w:val="1516774D"/>
    <w:rsid w:val="15399BE6"/>
    <w:rsid w:val="153C3D19"/>
    <w:rsid w:val="1553CBB7"/>
    <w:rsid w:val="15764A39"/>
    <w:rsid w:val="15830498"/>
    <w:rsid w:val="15835249"/>
    <w:rsid w:val="15A0C9C3"/>
    <w:rsid w:val="15AC6ED2"/>
    <w:rsid w:val="15E45FA6"/>
    <w:rsid w:val="15E519BA"/>
    <w:rsid w:val="15F4EC2F"/>
    <w:rsid w:val="15F7465A"/>
    <w:rsid w:val="160493AF"/>
    <w:rsid w:val="162E2CC0"/>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4ED947"/>
    <w:rsid w:val="175F7E42"/>
    <w:rsid w:val="177A325C"/>
    <w:rsid w:val="17943032"/>
    <w:rsid w:val="179917A9"/>
    <w:rsid w:val="179B0FE7"/>
    <w:rsid w:val="17A47A47"/>
    <w:rsid w:val="17D517D6"/>
    <w:rsid w:val="17E6DD47"/>
    <w:rsid w:val="17FC8BA7"/>
    <w:rsid w:val="1812940F"/>
    <w:rsid w:val="1833AAA9"/>
    <w:rsid w:val="1840B6F6"/>
    <w:rsid w:val="187C35D7"/>
    <w:rsid w:val="18A3393B"/>
    <w:rsid w:val="18F38682"/>
    <w:rsid w:val="190B6E72"/>
    <w:rsid w:val="192C9386"/>
    <w:rsid w:val="1936E82C"/>
    <w:rsid w:val="19447E6E"/>
    <w:rsid w:val="194DED4B"/>
    <w:rsid w:val="19574735"/>
    <w:rsid w:val="196B476D"/>
    <w:rsid w:val="19906EB3"/>
    <w:rsid w:val="199C9F14"/>
    <w:rsid w:val="19BA808C"/>
    <w:rsid w:val="19CBF04C"/>
    <w:rsid w:val="19F57F4E"/>
    <w:rsid w:val="19F9B0D6"/>
    <w:rsid w:val="1A0C752D"/>
    <w:rsid w:val="1A0F40BD"/>
    <w:rsid w:val="1A25807A"/>
    <w:rsid w:val="1A2A4D53"/>
    <w:rsid w:val="1A2D52E3"/>
    <w:rsid w:val="1A62345D"/>
    <w:rsid w:val="1A6A0CC1"/>
    <w:rsid w:val="1A79FEFA"/>
    <w:rsid w:val="1A80285D"/>
    <w:rsid w:val="1AA40C41"/>
    <w:rsid w:val="1AB2C0B8"/>
    <w:rsid w:val="1ABD1F8E"/>
    <w:rsid w:val="1ACF9161"/>
    <w:rsid w:val="1ACFF30C"/>
    <w:rsid w:val="1AD961B3"/>
    <w:rsid w:val="1ADF2272"/>
    <w:rsid w:val="1AFA613C"/>
    <w:rsid w:val="1B163920"/>
    <w:rsid w:val="1B210BD9"/>
    <w:rsid w:val="1B2388F2"/>
    <w:rsid w:val="1B4968EE"/>
    <w:rsid w:val="1B5F8439"/>
    <w:rsid w:val="1B60902D"/>
    <w:rsid w:val="1B687CA1"/>
    <w:rsid w:val="1B76465F"/>
    <w:rsid w:val="1B82D134"/>
    <w:rsid w:val="1BA4A723"/>
    <w:rsid w:val="1BC06012"/>
    <w:rsid w:val="1BC4AF52"/>
    <w:rsid w:val="1BD263B7"/>
    <w:rsid w:val="1BF7DA18"/>
    <w:rsid w:val="1C08FBC6"/>
    <w:rsid w:val="1C180330"/>
    <w:rsid w:val="1C3BB694"/>
    <w:rsid w:val="1C3CA182"/>
    <w:rsid w:val="1C468C76"/>
    <w:rsid w:val="1C470DAB"/>
    <w:rsid w:val="1C51F3AF"/>
    <w:rsid w:val="1C52E707"/>
    <w:rsid w:val="1C8A0940"/>
    <w:rsid w:val="1C8A376D"/>
    <w:rsid w:val="1C9BA460"/>
    <w:rsid w:val="1CB19E43"/>
    <w:rsid w:val="1CB9E1E5"/>
    <w:rsid w:val="1CCF6FAD"/>
    <w:rsid w:val="1CD2C91A"/>
    <w:rsid w:val="1CDB7B96"/>
    <w:rsid w:val="1CF2D281"/>
    <w:rsid w:val="1CF998AA"/>
    <w:rsid w:val="1D0BB2F7"/>
    <w:rsid w:val="1D25293B"/>
    <w:rsid w:val="1D433474"/>
    <w:rsid w:val="1D4E1822"/>
    <w:rsid w:val="1D5AFCAE"/>
    <w:rsid w:val="1D6AD7EF"/>
    <w:rsid w:val="1D736FC2"/>
    <w:rsid w:val="1D8A1BE0"/>
    <w:rsid w:val="1D8AAD2B"/>
    <w:rsid w:val="1D8D6610"/>
    <w:rsid w:val="1D9381A2"/>
    <w:rsid w:val="1D940F03"/>
    <w:rsid w:val="1D9ECD68"/>
    <w:rsid w:val="1DDD3A16"/>
    <w:rsid w:val="1DE680DE"/>
    <w:rsid w:val="1DFA38B9"/>
    <w:rsid w:val="1E2F6628"/>
    <w:rsid w:val="1E488321"/>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7B7C1B"/>
    <w:rsid w:val="1F8ACE62"/>
    <w:rsid w:val="1F90A896"/>
    <w:rsid w:val="1FCF0BDF"/>
    <w:rsid w:val="1FD2C11D"/>
    <w:rsid w:val="1FDE4DD7"/>
    <w:rsid w:val="1FE53551"/>
    <w:rsid w:val="20036C47"/>
    <w:rsid w:val="20071743"/>
    <w:rsid w:val="2010C9BD"/>
    <w:rsid w:val="20340425"/>
    <w:rsid w:val="2045855E"/>
    <w:rsid w:val="204ED1D1"/>
    <w:rsid w:val="2071680D"/>
    <w:rsid w:val="208CE4E4"/>
    <w:rsid w:val="2093E4A5"/>
    <w:rsid w:val="20A30C97"/>
    <w:rsid w:val="20A6352C"/>
    <w:rsid w:val="20AB42E1"/>
    <w:rsid w:val="20B98506"/>
    <w:rsid w:val="20C35B14"/>
    <w:rsid w:val="20DEFBC6"/>
    <w:rsid w:val="20DFB0F9"/>
    <w:rsid w:val="20ECF994"/>
    <w:rsid w:val="20FC9D04"/>
    <w:rsid w:val="21001007"/>
    <w:rsid w:val="21016E66"/>
    <w:rsid w:val="2155B2E7"/>
    <w:rsid w:val="2158F09B"/>
    <w:rsid w:val="21A46BF6"/>
    <w:rsid w:val="21CBEC13"/>
    <w:rsid w:val="220B8DC3"/>
    <w:rsid w:val="2221A18E"/>
    <w:rsid w:val="222F7E74"/>
    <w:rsid w:val="222FAFC3"/>
    <w:rsid w:val="22386A3D"/>
    <w:rsid w:val="2239D4D0"/>
    <w:rsid w:val="2240D5B1"/>
    <w:rsid w:val="22412AE4"/>
    <w:rsid w:val="2246FF40"/>
    <w:rsid w:val="22572700"/>
    <w:rsid w:val="225768DE"/>
    <w:rsid w:val="226AC6D7"/>
    <w:rsid w:val="226EF906"/>
    <w:rsid w:val="226FEF06"/>
    <w:rsid w:val="22798CCC"/>
    <w:rsid w:val="227E2AEE"/>
    <w:rsid w:val="22957C32"/>
    <w:rsid w:val="22972543"/>
    <w:rsid w:val="229D4282"/>
    <w:rsid w:val="22AB53BD"/>
    <w:rsid w:val="22C3DC8A"/>
    <w:rsid w:val="22DCB995"/>
    <w:rsid w:val="22DD496F"/>
    <w:rsid w:val="22E971E9"/>
    <w:rsid w:val="231A3959"/>
    <w:rsid w:val="231EF4C8"/>
    <w:rsid w:val="2332AD9E"/>
    <w:rsid w:val="2343CD36"/>
    <w:rsid w:val="23552DDA"/>
    <w:rsid w:val="235DC776"/>
    <w:rsid w:val="236DC9FC"/>
    <w:rsid w:val="236EA8FA"/>
    <w:rsid w:val="237F9D16"/>
    <w:rsid w:val="23BF7126"/>
    <w:rsid w:val="23CC787B"/>
    <w:rsid w:val="240478A9"/>
    <w:rsid w:val="2407B0CB"/>
    <w:rsid w:val="2412A6DB"/>
    <w:rsid w:val="24295550"/>
    <w:rsid w:val="244D96EB"/>
    <w:rsid w:val="244F4EB4"/>
    <w:rsid w:val="2451AAB3"/>
    <w:rsid w:val="2455247E"/>
    <w:rsid w:val="2463A55F"/>
    <w:rsid w:val="24654D89"/>
    <w:rsid w:val="2469D857"/>
    <w:rsid w:val="24748D6F"/>
    <w:rsid w:val="24B7CC89"/>
    <w:rsid w:val="24BB389A"/>
    <w:rsid w:val="24BD9ED8"/>
    <w:rsid w:val="24C0FFD8"/>
    <w:rsid w:val="24C6FD72"/>
    <w:rsid w:val="24C8B25F"/>
    <w:rsid w:val="24D0B1F9"/>
    <w:rsid w:val="24D6B479"/>
    <w:rsid w:val="250B0D1F"/>
    <w:rsid w:val="2514E996"/>
    <w:rsid w:val="251C2FEA"/>
    <w:rsid w:val="251EE0CB"/>
    <w:rsid w:val="251EF604"/>
    <w:rsid w:val="253CAB32"/>
    <w:rsid w:val="2561E690"/>
    <w:rsid w:val="257F2CA3"/>
    <w:rsid w:val="2586E933"/>
    <w:rsid w:val="25956BCF"/>
    <w:rsid w:val="259C0784"/>
    <w:rsid w:val="25AF1FC1"/>
    <w:rsid w:val="25AF9D39"/>
    <w:rsid w:val="25B590DC"/>
    <w:rsid w:val="25B8AEE0"/>
    <w:rsid w:val="25D3F229"/>
    <w:rsid w:val="261B6188"/>
    <w:rsid w:val="261CBBDF"/>
    <w:rsid w:val="26439EBA"/>
    <w:rsid w:val="26562DFB"/>
    <w:rsid w:val="265D71A7"/>
    <w:rsid w:val="267778DC"/>
    <w:rsid w:val="268E0965"/>
    <w:rsid w:val="269FCE1B"/>
    <w:rsid w:val="26A737A2"/>
    <w:rsid w:val="26ADD820"/>
    <w:rsid w:val="26B1FE3E"/>
    <w:rsid w:val="26D00438"/>
    <w:rsid w:val="26D25BAD"/>
    <w:rsid w:val="26E85F65"/>
    <w:rsid w:val="26F0AD1D"/>
    <w:rsid w:val="26FA6742"/>
    <w:rsid w:val="271C3D03"/>
    <w:rsid w:val="2736D741"/>
    <w:rsid w:val="27452E98"/>
    <w:rsid w:val="274D1401"/>
    <w:rsid w:val="27916ACD"/>
    <w:rsid w:val="27918249"/>
    <w:rsid w:val="279D7A1C"/>
    <w:rsid w:val="27A8B55C"/>
    <w:rsid w:val="27D02976"/>
    <w:rsid w:val="27F52DE4"/>
    <w:rsid w:val="2804EDB5"/>
    <w:rsid w:val="280B3557"/>
    <w:rsid w:val="28248AB2"/>
    <w:rsid w:val="2824AA29"/>
    <w:rsid w:val="282E38AD"/>
    <w:rsid w:val="283D703A"/>
    <w:rsid w:val="28753FC3"/>
    <w:rsid w:val="289D94CE"/>
    <w:rsid w:val="28E5FF4F"/>
    <w:rsid w:val="28FBFAF8"/>
    <w:rsid w:val="29107C3E"/>
    <w:rsid w:val="292D8022"/>
    <w:rsid w:val="293409BB"/>
    <w:rsid w:val="293F818A"/>
    <w:rsid w:val="2947C8D1"/>
    <w:rsid w:val="29524AAE"/>
    <w:rsid w:val="298F88F4"/>
    <w:rsid w:val="29A489F5"/>
    <w:rsid w:val="29D1463D"/>
    <w:rsid w:val="29D5D132"/>
    <w:rsid w:val="29E1FD2B"/>
    <w:rsid w:val="29F54ABE"/>
    <w:rsid w:val="29FE50DF"/>
    <w:rsid w:val="29FEBF8B"/>
    <w:rsid w:val="2A0C036F"/>
    <w:rsid w:val="2A13CE08"/>
    <w:rsid w:val="2A176277"/>
    <w:rsid w:val="2A19B3C2"/>
    <w:rsid w:val="2A1A71D6"/>
    <w:rsid w:val="2A1B1330"/>
    <w:rsid w:val="2A21644F"/>
    <w:rsid w:val="2A3E249A"/>
    <w:rsid w:val="2A54C9EB"/>
    <w:rsid w:val="2A5D301D"/>
    <w:rsid w:val="2A706AED"/>
    <w:rsid w:val="2A806B88"/>
    <w:rsid w:val="2A86345B"/>
    <w:rsid w:val="2A957907"/>
    <w:rsid w:val="2AB711B6"/>
    <w:rsid w:val="2AD05CC0"/>
    <w:rsid w:val="2AD2E1BE"/>
    <w:rsid w:val="2AE82163"/>
    <w:rsid w:val="2B109360"/>
    <w:rsid w:val="2B213312"/>
    <w:rsid w:val="2B246110"/>
    <w:rsid w:val="2B4BD6CB"/>
    <w:rsid w:val="2B509529"/>
    <w:rsid w:val="2B599C04"/>
    <w:rsid w:val="2B65550D"/>
    <w:rsid w:val="2B6F4854"/>
    <w:rsid w:val="2B73CCF1"/>
    <w:rsid w:val="2B7BD333"/>
    <w:rsid w:val="2B9C45C1"/>
    <w:rsid w:val="2B9E22BD"/>
    <w:rsid w:val="2BCA3E73"/>
    <w:rsid w:val="2BCED4A6"/>
    <w:rsid w:val="2C078C12"/>
    <w:rsid w:val="2C167E4A"/>
    <w:rsid w:val="2C284CD9"/>
    <w:rsid w:val="2C3F7C71"/>
    <w:rsid w:val="2C64E71E"/>
    <w:rsid w:val="2C8D5594"/>
    <w:rsid w:val="2C90F9D9"/>
    <w:rsid w:val="2C94165C"/>
    <w:rsid w:val="2CA283D8"/>
    <w:rsid w:val="2CA5B5B7"/>
    <w:rsid w:val="2CA805E2"/>
    <w:rsid w:val="2CC188CD"/>
    <w:rsid w:val="2CC9E511"/>
    <w:rsid w:val="2CD1DA4A"/>
    <w:rsid w:val="2CD71E93"/>
    <w:rsid w:val="2CDCD301"/>
    <w:rsid w:val="2CE65716"/>
    <w:rsid w:val="2CEEC5A6"/>
    <w:rsid w:val="2CF51F61"/>
    <w:rsid w:val="2CFC3D2F"/>
    <w:rsid w:val="2D074317"/>
    <w:rsid w:val="2D12BF11"/>
    <w:rsid w:val="2D2162BC"/>
    <w:rsid w:val="2D3377BD"/>
    <w:rsid w:val="2D376E79"/>
    <w:rsid w:val="2D4065A1"/>
    <w:rsid w:val="2D4694FB"/>
    <w:rsid w:val="2D4CC359"/>
    <w:rsid w:val="2D5B12DA"/>
    <w:rsid w:val="2D5D8444"/>
    <w:rsid w:val="2D7991CA"/>
    <w:rsid w:val="2D7B99C5"/>
    <w:rsid w:val="2D8136B4"/>
    <w:rsid w:val="2D8332A2"/>
    <w:rsid w:val="2D8925EB"/>
    <w:rsid w:val="2D963023"/>
    <w:rsid w:val="2DA0740D"/>
    <w:rsid w:val="2DA59E4A"/>
    <w:rsid w:val="2DAA386E"/>
    <w:rsid w:val="2DB0D9A6"/>
    <w:rsid w:val="2DB8068E"/>
    <w:rsid w:val="2DBFDFD0"/>
    <w:rsid w:val="2DCC2EAD"/>
    <w:rsid w:val="2DCCAB7A"/>
    <w:rsid w:val="2DDA2A37"/>
    <w:rsid w:val="2DF4C30E"/>
    <w:rsid w:val="2DFF9CF9"/>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BAB1E"/>
    <w:rsid w:val="2F9C52C3"/>
    <w:rsid w:val="2FB9ABB5"/>
    <w:rsid w:val="2FD2A909"/>
    <w:rsid w:val="2FD71786"/>
    <w:rsid w:val="3019BA07"/>
    <w:rsid w:val="303879DB"/>
    <w:rsid w:val="304912E2"/>
    <w:rsid w:val="306FA7BA"/>
    <w:rsid w:val="307A0CBC"/>
    <w:rsid w:val="307ECD75"/>
    <w:rsid w:val="3095952B"/>
    <w:rsid w:val="30AA3B13"/>
    <w:rsid w:val="30B32567"/>
    <w:rsid w:val="30B5D3E1"/>
    <w:rsid w:val="30BAF200"/>
    <w:rsid w:val="30D2E2CD"/>
    <w:rsid w:val="30DF9D25"/>
    <w:rsid w:val="30E0EE19"/>
    <w:rsid w:val="30EC58AC"/>
    <w:rsid w:val="30F2FCC0"/>
    <w:rsid w:val="310D29BA"/>
    <w:rsid w:val="310D940E"/>
    <w:rsid w:val="310E6617"/>
    <w:rsid w:val="31410B37"/>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EC3BC"/>
    <w:rsid w:val="31C5D161"/>
    <w:rsid w:val="31D26A51"/>
    <w:rsid w:val="31D2C74A"/>
    <w:rsid w:val="31D91B01"/>
    <w:rsid w:val="31DD3AF8"/>
    <w:rsid w:val="31F9D09E"/>
    <w:rsid w:val="3201D2BD"/>
    <w:rsid w:val="320244CF"/>
    <w:rsid w:val="320541B8"/>
    <w:rsid w:val="320F567A"/>
    <w:rsid w:val="32196A1E"/>
    <w:rsid w:val="321E4052"/>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6A59F"/>
    <w:rsid w:val="330B342A"/>
    <w:rsid w:val="331DB764"/>
    <w:rsid w:val="332A013A"/>
    <w:rsid w:val="334CDC65"/>
    <w:rsid w:val="3350C688"/>
    <w:rsid w:val="3355B26E"/>
    <w:rsid w:val="33564F5A"/>
    <w:rsid w:val="3366DABC"/>
    <w:rsid w:val="336F6B53"/>
    <w:rsid w:val="337D276E"/>
    <w:rsid w:val="33B93331"/>
    <w:rsid w:val="33BF175B"/>
    <w:rsid w:val="33BF8166"/>
    <w:rsid w:val="33CCE368"/>
    <w:rsid w:val="33D265EB"/>
    <w:rsid w:val="33DC0743"/>
    <w:rsid w:val="33DD17EC"/>
    <w:rsid w:val="34106FBF"/>
    <w:rsid w:val="34290F38"/>
    <w:rsid w:val="342A48CB"/>
    <w:rsid w:val="342C200E"/>
    <w:rsid w:val="343CB539"/>
    <w:rsid w:val="3443A856"/>
    <w:rsid w:val="344C6877"/>
    <w:rsid w:val="34517040"/>
    <w:rsid w:val="345F54C7"/>
    <w:rsid w:val="347B83A8"/>
    <w:rsid w:val="348BA29B"/>
    <w:rsid w:val="349B3BAE"/>
    <w:rsid w:val="34A7778D"/>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A3BB05"/>
    <w:rsid w:val="35B98C3D"/>
    <w:rsid w:val="35B9BD5D"/>
    <w:rsid w:val="35CA4BC3"/>
    <w:rsid w:val="35ECCD9D"/>
    <w:rsid w:val="35ED86B6"/>
    <w:rsid w:val="35F16FF1"/>
    <w:rsid w:val="361720F3"/>
    <w:rsid w:val="361BC658"/>
    <w:rsid w:val="363CC192"/>
    <w:rsid w:val="3644BDF7"/>
    <w:rsid w:val="3647E178"/>
    <w:rsid w:val="367FFD95"/>
    <w:rsid w:val="36818E81"/>
    <w:rsid w:val="368EDE61"/>
    <w:rsid w:val="36989FE1"/>
    <w:rsid w:val="36A18ED7"/>
    <w:rsid w:val="36A2CEC2"/>
    <w:rsid w:val="36BDDE6C"/>
    <w:rsid w:val="36EB7216"/>
    <w:rsid w:val="37017834"/>
    <w:rsid w:val="3701A079"/>
    <w:rsid w:val="37123A5C"/>
    <w:rsid w:val="3712B903"/>
    <w:rsid w:val="3718833B"/>
    <w:rsid w:val="372D32F7"/>
    <w:rsid w:val="37389379"/>
    <w:rsid w:val="373E772A"/>
    <w:rsid w:val="375042C2"/>
    <w:rsid w:val="37531AD2"/>
    <w:rsid w:val="378AC06D"/>
    <w:rsid w:val="37AA860D"/>
    <w:rsid w:val="37B183D5"/>
    <w:rsid w:val="37B67150"/>
    <w:rsid w:val="37F81675"/>
    <w:rsid w:val="37FD42DF"/>
    <w:rsid w:val="37FE1134"/>
    <w:rsid w:val="380C5430"/>
    <w:rsid w:val="3811FACD"/>
    <w:rsid w:val="38297130"/>
    <w:rsid w:val="382B01F5"/>
    <w:rsid w:val="382B77D2"/>
    <w:rsid w:val="382C205C"/>
    <w:rsid w:val="38313454"/>
    <w:rsid w:val="38642CF0"/>
    <w:rsid w:val="387D0CA6"/>
    <w:rsid w:val="38838D51"/>
    <w:rsid w:val="38875722"/>
    <w:rsid w:val="388B7989"/>
    <w:rsid w:val="3897E90C"/>
    <w:rsid w:val="38BB170C"/>
    <w:rsid w:val="38C27643"/>
    <w:rsid w:val="38C8C88C"/>
    <w:rsid w:val="38DB5BE2"/>
    <w:rsid w:val="3920E673"/>
    <w:rsid w:val="392D90E2"/>
    <w:rsid w:val="393207BA"/>
    <w:rsid w:val="393269D2"/>
    <w:rsid w:val="394B44D0"/>
    <w:rsid w:val="39500671"/>
    <w:rsid w:val="39503BDB"/>
    <w:rsid w:val="3959F33F"/>
    <w:rsid w:val="396851A2"/>
    <w:rsid w:val="396A926A"/>
    <w:rsid w:val="3982CC79"/>
    <w:rsid w:val="39881558"/>
    <w:rsid w:val="398F34D3"/>
    <w:rsid w:val="39A6E594"/>
    <w:rsid w:val="39CF5506"/>
    <w:rsid w:val="39DB4249"/>
    <w:rsid w:val="39DE2CC1"/>
    <w:rsid w:val="39EBFBEC"/>
    <w:rsid w:val="39F4F269"/>
    <w:rsid w:val="39F83EA4"/>
    <w:rsid w:val="39FA7C56"/>
    <w:rsid w:val="3A037309"/>
    <w:rsid w:val="3A052396"/>
    <w:rsid w:val="3A0620C7"/>
    <w:rsid w:val="3A08958E"/>
    <w:rsid w:val="3A0D6645"/>
    <w:rsid w:val="3A1F9834"/>
    <w:rsid w:val="3A409BF2"/>
    <w:rsid w:val="3A53AFA0"/>
    <w:rsid w:val="3A568767"/>
    <w:rsid w:val="3A6F9081"/>
    <w:rsid w:val="3A72BAED"/>
    <w:rsid w:val="3A78CDC5"/>
    <w:rsid w:val="3A87F47F"/>
    <w:rsid w:val="3A8A5065"/>
    <w:rsid w:val="3A8BC22A"/>
    <w:rsid w:val="3A8C832C"/>
    <w:rsid w:val="3A90209F"/>
    <w:rsid w:val="3A9976D1"/>
    <w:rsid w:val="3AA50625"/>
    <w:rsid w:val="3AA8B35A"/>
    <w:rsid w:val="3ABFB9BE"/>
    <w:rsid w:val="3AC6637B"/>
    <w:rsid w:val="3ADDD094"/>
    <w:rsid w:val="3AE1C581"/>
    <w:rsid w:val="3AE60FE6"/>
    <w:rsid w:val="3B0C3A56"/>
    <w:rsid w:val="3B1F5462"/>
    <w:rsid w:val="3B22E7BB"/>
    <w:rsid w:val="3B23227E"/>
    <w:rsid w:val="3B27C7A7"/>
    <w:rsid w:val="3B40CB5F"/>
    <w:rsid w:val="3B446459"/>
    <w:rsid w:val="3B4A20D1"/>
    <w:rsid w:val="3B598EBD"/>
    <w:rsid w:val="3B6E9F44"/>
    <w:rsid w:val="3B78F540"/>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8C8433"/>
    <w:rsid w:val="3CA09A1B"/>
    <w:rsid w:val="3CA9E028"/>
    <w:rsid w:val="3CAC8253"/>
    <w:rsid w:val="3CF03F3D"/>
    <w:rsid w:val="3CFBD792"/>
    <w:rsid w:val="3D012071"/>
    <w:rsid w:val="3D0E6CDE"/>
    <w:rsid w:val="3D1EAA92"/>
    <w:rsid w:val="3D32DEB7"/>
    <w:rsid w:val="3D480806"/>
    <w:rsid w:val="3D4D9F2B"/>
    <w:rsid w:val="3D539E23"/>
    <w:rsid w:val="3D55C0EE"/>
    <w:rsid w:val="3D6B8C95"/>
    <w:rsid w:val="3D7646E9"/>
    <w:rsid w:val="3D7E0A7C"/>
    <w:rsid w:val="3DA3D529"/>
    <w:rsid w:val="3DC4690D"/>
    <w:rsid w:val="3DD07594"/>
    <w:rsid w:val="3DD8CB23"/>
    <w:rsid w:val="3DEBBD70"/>
    <w:rsid w:val="3DFEA6A2"/>
    <w:rsid w:val="3E0EE771"/>
    <w:rsid w:val="3E44794F"/>
    <w:rsid w:val="3E4ED766"/>
    <w:rsid w:val="3E7FC7AD"/>
    <w:rsid w:val="3E99CE71"/>
    <w:rsid w:val="3E9FF3D2"/>
    <w:rsid w:val="3EB2975A"/>
    <w:rsid w:val="3ECC2D10"/>
    <w:rsid w:val="3EF5C98B"/>
    <w:rsid w:val="3EFB7F30"/>
    <w:rsid w:val="3F1059A1"/>
    <w:rsid w:val="3F1D1913"/>
    <w:rsid w:val="3F1E4BF9"/>
    <w:rsid w:val="3F1F2080"/>
    <w:rsid w:val="3F282C5C"/>
    <w:rsid w:val="3F369BB4"/>
    <w:rsid w:val="3F8C005B"/>
    <w:rsid w:val="3F92BFC5"/>
    <w:rsid w:val="3F99E9F9"/>
    <w:rsid w:val="3FA64CE4"/>
    <w:rsid w:val="3FA6F56F"/>
    <w:rsid w:val="3FB890EB"/>
    <w:rsid w:val="3FBD4814"/>
    <w:rsid w:val="3FC70F9F"/>
    <w:rsid w:val="3FDD60E4"/>
    <w:rsid w:val="3FE75128"/>
    <w:rsid w:val="401492E9"/>
    <w:rsid w:val="401FC128"/>
    <w:rsid w:val="402003A2"/>
    <w:rsid w:val="403C70A9"/>
    <w:rsid w:val="405F7183"/>
    <w:rsid w:val="4065509E"/>
    <w:rsid w:val="406805EA"/>
    <w:rsid w:val="406A5B10"/>
    <w:rsid w:val="40703BEB"/>
    <w:rsid w:val="407408C5"/>
    <w:rsid w:val="407DF237"/>
    <w:rsid w:val="40806B20"/>
    <w:rsid w:val="408672CD"/>
    <w:rsid w:val="40A674CF"/>
    <w:rsid w:val="40B9395C"/>
    <w:rsid w:val="40D59909"/>
    <w:rsid w:val="40DD7FBA"/>
    <w:rsid w:val="40DE16AE"/>
    <w:rsid w:val="40FD528C"/>
    <w:rsid w:val="411DA090"/>
    <w:rsid w:val="4128D6C5"/>
    <w:rsid w:val="41369708"/>
    <w:rsid w:val="4138B979"/>
    <w:rsid w:val="41477FFC"/>
    <w:rsid w:val="4169631C"/>
    <w:rsid w:val="4196FEC4"/>
    <w:rsid w:val="419A3F51"/>
    <w:rsid w:val="41BE11C9"/>
    <w:rsid w:val="41C670F7"/>
    <w:rsid w:val="41EDC5BC"/>
    <w:rsid w:val="4201F306"/>
    <w:rsid w:val="4228A0DE"/>
    <w:rsid w:val="424B487B"/>
    <w:rsid w:val="4263D1D9"/>
    <w:rsid w:val="426DD465"/>
    <w:rsid w:val="4286D877"/>
    <w:rsid w:val="42945F27"/>
    <w:rsid w:val="42E165B4"/>
    <w:rsid w:val="4306CF11"/>
    <w:rsid w:val="43257B3C"/>
    <w:rsid w:val="4325B216"/>
    <w:rsid w:val="432AF489"/>
    <w:rsid w:val="4335691D"/>
    <w:rsid w:val="43380A9F"/>
    <w:rsid w:val="43454100"/>
    <w:rsid w:val="436F8185"/>
    <w:rsid w:val="4389F663"/>
    <w:rsid w:val="43989E85"/>
    <w:rsid w:val="43A3660D"/>
    <w:rsid w:val="43D75144"/>
    <w:rsid w:val="43DB5F48"/>
    <w:rsid w:val="43E827F5"/>
    <w:rsid w:val="43ECA56C"/>
    <w:rsid w:val="43F230CD"/>
    <w:rsid w:val="43F2979E"/>
    <w:rsid w:val="44013710"/>
    <w:rsid w:val="440F1ED6"/>
    <w:rsid w:val="441B04F0"/>
    <w:rsid w:val="441F8C78"/>
    <w:rsid w:val="4426C57F"/>
    <w:rsid w:val="448B152C"/>
    <w:rsid w:val="44910BD9"/>
    <w:rsid w:val="44982A6F"/>
    <w:rsid w:val="44A00714"/>
    <w:rsid w:val="44A02F5B"/>
    <w:rsid w:val="44B40BDB"/>
    <w:rsid w:val="44BF28E8"/>
    <w:rsid w:val="44C2EB17"/>
    <w:rsid w:val="44C7B284"/>
    <w:rsid w:val="44CCF5C8"/>
    <w:rsid w:val="44D035A6"/>
    <w:rsid w:val="44EE0605"/>
    <w:rsid w:val="45030027"/>
    <w:rsid w:val="450C233E"/>
    <w:rsid w:val="451C2D1B"/>
    <w:rsid w:val="451E40CD"/>
    <w:rsid w:val="4574C9DD"/>
    <w:rsid w:val="4576AF3B"/>
    <w:rsid w:val="45A7B465"/>
    <w:rsid w:val="45ACAA27"/>
    <w:rsid w:val="45C0D543"/>
    <w:rsid w:val="45D2B149"/>
    <w:rsid w:val="45EAAC64"/>
    <w:rsid w:val="45FAFC86"/>
    <w:rsid w:val="46143B08"/>
    <w:rsid w:val="461B6C1E"/>
    <w:rsid w:val="46307EC0"/>
    <w:rsid w:val="4639D259"/>
    <w:rsid w:val="4643C668"/>
    <w:rsid w:val="465D941D"/>
    <w:rsid w:val="46607776"/>
    <w:rsid w:val="466C7584"/>
    <w:rsid w:val="467FB4CC"/>
    <w:rsid w:val="4687CEA1"/>
    <w:rsid w:val="46A8289D"/>
    <w:rsid w:val="46CA0704"/>
    <w:rsid w:val="46DBA3C3"/>
    <w:rsid w:val="47109CF7"/>
    <w:rsid w:val="4715232D"/>
    <w:rsid w:val="47407A7E"/>
    <w:rsid w:val="475DF1AC"/>
    <w:rsid w:val="475DF6DE"/>
    <w:rsid w:val="47775044"/>
    <w:rsid w:val="47926B52"/>
    <w:rsid w:val="479BAD37"/>
    <w:rsid w:val="47A5943F"/>
    <w:rsid w:val="47C68B00"/>
    <w:rsid w:val="47D141A0"/>
    <w:rsid w:val="47D64102"/>
    <w:rsid w:val="47F305A3"/>
    <w:rsid w:val="47F8785F"/>
    <w:rsid w:val="481560C1"/>
    <w:rsid w:val="4817FAA8"/>
    <w:rsid w:val="482632D0"/>
    <w:rsid w:val="4842E0B2"/>
    <w:rsid w:val="484FDAE1"/>
    <w:rsid w:val="4858336B"/>
    <w:rsid w:val="48595C73"/>
    <w:rsid w:val="487201A2"/>
    <w:rsid w:val="487C8024"/>
    <w:rsid w:val="487FC5F4"/>
    <w:rsid w:val="48A72777"/>
    <w:rsid w:val="48AA68E2"/>
    <w:rsid w:val="48B67589"/>
    <w:rsid w:val="48C0EE04"/>
    <w:rsid w:val="48D31EF4"/>
    <w:rsid w:val="48DF776E"/>
    <w:rsid w:val="48E77DE0"/>
    <w:rsid w:val="490A1BC3"/>
    <w:rsid w:val="49365FD6"/>
    <w:rsid w:val="494276F7"/>
    <w:rsid w:val="4946A000"/>
    <w:rsid w:val="49560715"/>
    <w:rsid w:val="49581F39"/>
    <w:rsid w:val="496F3C73"/>
    <w:rsid w:val="497EC55D"/>
    <w:rsid w:val="498517C0"/>
    <w:rsid w:val="49ABD326"/>
    <w:rsid w:val="49BD17B6"/>
    <w:rsid w:val="49D3F4D1"/>
    <w:rsid w:val="4A036F60"/>
    <w:rsid w:val="4A0B5378"/>
    <w:rsid w:val="4A106D4C"/>
    <w:rsid w:val="4A18DA83"/>
    <w:rsid w:val="4A2ECC60"/>
    <w:rsid w:val="4A3B0B32"/>
    <w:rsid w:val="4A45223C"/>
    <w:rsid w:val="4A47E722"/>
    <w:rsid w:val="4A488FD8"/>
    <w:rsid w:val="4A718C44"/>
    <w:rsid w:val="4AA1640A"/>
    <w:rsid w:val="4AE13989"/>
    <w:rsid w:val="4AE7AEC3"/>
    <w:rsid w:val="4AE8DAA7"/>
    <w:rsid w:val="4AF44B35"/>
    <w:rsid w:val="4AFA483A"/>
    <w:rsid w:val="4B09B437"/>
    <w:rsid w:val="4B197192"/>
    <w:rsid w:val="4B1FECFA"/>
    <w:rsid w:val="4B25EDD7"/>
    <w:rsid w:val="4B2CFE85"/>
    <w:rsid w:val="4B40F544"/>
    <w:rsid w:val="4B46C7E2"/>
    <w:rsid w:val="4B48FCCE"/>
    <w:rsid w:val="4B6EC8EE"/>
    <w:rsid w:val="4B80F1D3"/>
    <w:rsid w:val="4B9C1F47"/>
    <w:rsid w:val="4BD100EC"/>
    <w:rsid w:val="4BDC7994"/>
    <w:rsid w:val="4C1F0B5D"/>
    <w:rsid w:val="4C263D63"/>
    <w:rsid w:val="4C2EAB33"/>
    <w:rsid w:val="4C48D859"/>
    <w:rsid w:val="4C51BB3D"/>
    <w:rsid w:val="4C637437"/>
    <w:rsid w:val="4C705D79"/>
    <w:rsid w:val="4C77B641"/>
    <w:rsid w:val="4CAAC291"/>
    <w:rsid w:val="4CC10172"/>
    <w:rsid w:val="4CDB96B1"/>
    <w:rsid w:val="4CE5A790"/>
    <w:rsid w:val="4CE92E66"/>
    <w:rsid w:val="4D0EE009"/>
    <w:rsid w:val="4D101D3C"/>
    <w:rsid w:val="4D1650AE"/>
    <w:rsid w:val="4D279D06"/>
    <w:rsid w:val="4D2CDBF7"/>
    <w:rsid w:val="4D32ACE3"/>
    <w:rsid w:val="4D3FE452"/>
    <w:rsid w:val="4D441560"/>
    <w:rsid w:val="4D5447AA"/>
    <w:rsid w:val="4D5FE55B"/>
    <w:rsid w:val="4D6CD940"/>
    <w:rsid w:val="4D81DB0D"/>
    <w:rsid w:val="4D887D6D"/>
    <w:rsid w:val="4D920A37"/>
    <w:rsid w:val="4DA552D0"/>
    <w:rsid w:val="4DD1ABE0"/>
    <w:rsid w:val="4E02899B"/>
    <w:rsid w:val="4E148651"/>
    <w:rsid w:val="4E15D3B8"/>
    <w:rsid w:val="4E2C6BD8"/>
    <w:rsid w:val="4E65273D"/>
    <w:rsid w:val="4E82FC2B"/>
    <w:rsid w:val="4E9011AD"/>
    <w:rsid w:val="4E9EAC7E"/>
    <w:rsid w:val="4EBBC9AD"/>
    <w:rsid w:val="4EBC68D0"/>
    <w:rsid w:val="4EBD0480"/>
    <w:rsid w:val="4EC17719"/>
    <w:rsid w:val="4EC7B799"/>
    <w:rsid w:val="4ED3C068"/>
    <w:rsid w:val="4ED6D2C6"/>
    <w:rsid w:val="4EEBDC0C"/>
    <w:rsid w:val="4F121A24"/>
    <w:rsid w:val="4F28C5F7"/>
    <w:rsid w:val="4F335773"/>
    <w:rsid w:val="4F4D4890"/>
    <w:rsid w:val="4F5808BE"/>
    <w:rsid w:val="4F6E7956"/>
    <w:rsid w:val="4F7AAC19"/>
    <w:rsid w:val="4F84812E"/>
    <w:rsid w:val="4FA444DC"/>
    <w:rsid w:val="4FB91E7D"/>
    <w:rsid w:val="4FBFB334"/>
    <w:rsid w:val="4FD24D38"/>
    <w:rsid w:val="4FEB4304"/>
    <w:rsid w:val="4FFB16D4"/>
    <w:rsid w:val="501C59AF"/>
    <w:rsid w:val="501E2A7B"/>
    <w:rsid w:val="50374258"/>
    <w:rsid w:val="50427B50"/>
    <w:rsid w:val="50466BFB"/>
    <w:rsid w:val="50823D5D"/>
    <w:rsid w:val="5086C9F4"/>
    <w:rsid w:val="508FF879"/>
    <w:rsid w:val="50A68211"/>
    <w:rsid w:val="50B3BF1C"/>
    <w:rsid w:val="50CAB985"/>
    <w:rsid w:val="50E75D75"/>
    <w:rsid w:val="50EA50BF"/>
    <w:rsid w:val="50F0AB77"/>
    <w:rsid w:val="50F4B592"/>
    <w:rsid w:val="50F7E655"/>
    <w:rsid w:val="510C852A"/>
    <w:rsid w:val="51282A90"/>
    <w:rsid w:val="513DD4B9"/>
    <w:rsid w:val="515BFB1B"/>
    <w:rsid w:val="5161137D"/>
    <w:rsid w:val="516BE0BF"/>
    <w:rsid w:val="5171A55C"/>
    <w:rsid w:val="518D9061"/>
    <w:rsid w:val="51993F0B"/>
    <w:rsid w:val="51A1B227"/>
    <w:rsid w:val="51ADCAC9"/>
    <w:rsid w:val="51B73BDD"/>
    <w:rsid w:val="51CC9D02"/>
    <w:rsid w:val="51DDC415"/>
    <w:rsid w:val="51DE9C47"/>
    <w:rsid w:val="51F4E470"/>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C6F02"/>
    <w:rsid w:val="52D485A9"/>
    <w:rsid w:val="52D9B379"/>
    <w:rsid w:val="52DAC609"/>
    <w:rsid w:val="52F71856"/>
    <w:rsid w:val="530456B6"/>
    <w:rsid w:val="5323BEC3"/>
    <w:rsid w:val="533FA005"/>
    <w:rsid w:val="533FFFA1"/>
    <w:rsid w:val="53433C72"/>
    <w:rsid w:val="53462198"/>
    <w:rsid w:val="534797A8"/>
    <w:rsid w:val="5351786F"/>
    <w:rsid w:val="535E791A"/>
    <w:rsid w:val="536045CA"/>
    <w:rsid w:val="5382AD2D"/>
    <w:rsid w:val="5389DAA7"/>
    <w:rsid w:val="53A37AD7"/>
    <w:rsid w:val="53AADEC0"/>
    <w:rsid w:val="53CD864A"/>
    <w:rsid w:val="53D1764F"/>
    <w:rsid w:val="53E87170"/>
    <w:rsid w:val="53F6DE3D"/>
    <w:rsid w:val="53F9BBF3"/>
    <w:rsid w:val="540549E1"/>
    <w:rsid w:val="5408CF8E"/>
    <w:rsid w:val="540F9CC9"/>
    <w:rsid w:val="5418F70B"/>
    <w:rsid w:val="541F9074"/>
    <w:rsid w:val="5426BB49"/>
    <w:rsid w:val="542F24F2"/>
    <w:rsid w:val="543F4330"/>
    <w:rsid w:val="54404CEF"/>
    <w:rsid w:val="54625902"/>
    <w:rsid w:val="5463FCE5"/>
    <w:rsid w:val="5488D4A5"/>
    <w:rsid w:val="5498A31D"/>
    <w:rsid w:val="54B3AE57"/>
    <w:rsid w:val="54CC1999"/>
    <w:rsid w:val="54CF8F91"/>
    <w:rsid w:val="54D623C6"/>
    <w:rsid w:val="54F34D23"/>
    <w:rsid w:val="55074763"/>
    <w:rsid w:val="55383F9F"/>
    <w:rsid w:val="554E798B"/>
    <w:rsid w:val="55562CCE"/>
    <w:rsid w:val="555EF5D6"/>
    <w:rsid w:val="55692555"/>
    <w:rsid w:val="5573BC13"/>
    <w:rsid w:val="55895220"/>
    <w:rsid w:val="5592C4C6"/>
    <w:rsid w:val="55B4D326"/>
    <w:rsid w:val="55C1066F"/>
    <w:rsid w:val="55C20F06"/>
    <w:rsid w:val="55C68850"/>
    <w:rsid w:val="55C88FB1"/>
    <w:rsid w:val="55F6587B"/>
    <w:rsid w:val="55F9D646"/>
    <w:rsid w:val="55FCEBCB"/>
    <w:rsid w:val="560D7C45"/>
    <w:rsid w:val="56195F85"/>
    <w:rsid w:val="562F9C45"/>
    <w:rsid w:val="565E21D7"/>
    <w:rsid w:val="566429DB"/>
    <w:rsid w:val="56694B15"/>
    <w:rsid w:val="566A6A7E"/>
    <w:rsid w:val="567E92F1"/>
    <w:rsid w:val="56A51453"/>
    <w:rsid w:val="56A9E7AB"/>
    <w:rsid w:val="56BFD4F4"/>
    <w:rsid w:val="56C3FA53"/>
    <w:rsid w:val="56D0C76B"/>
    <w:rsid w:val="56EC7F99"/>
    <w:rsid w:val="56F621BD"/>
    <w:rsid w:val="56F9DFDE"/>
    <w:rsid w:val="56FE23B8"/>
    <w:rsid w:val="5704F81A"/>
    <w:rsid w:val="5709EAE4"/>
    <w:rsid w:val="57180DA1"/>
    <w:rsid w:val="572149EE"/>
    <w:rsid w:val="573DC910"/>
    <w:rsid w:val="5743D91D"/>
    <w:rsid w:val="57445F91"/>
    <w:rsid w:val="576A9A38"/>
    <w:rsid w:val="5775E135"/>
    <w:rsid w:val="5780AF26"/>
    <w:rsid w:val="578B01C7"/>
    <w:rsid w:val="57C3D9B5"/>
    <w:rsid w:val="57CD8724"/>
    <w:rsid w:val="57D041B2"/>
    <w:rsid w:val="57D0D57D"/>
    <w:rsid w:val="57D770D7"/>
    <w:rsid w:val="57D85F65"/>
    <w:rsid w:val="57E9E244"/>
    <w:rsid w:val="5809EA8D"/>
    <w:rsid w:val="581706AF"/>
    <w:rsid w:val="58223688"/>
    <w:rsid w:val="582C106A"/>
    <w:rsid w:val="5847FE09"/>
    <w:rsid w:val="584B0373"/>
    <w:rsid w:val="5851F2E9"/>
    <w:rsid w:val="58661AAD"/>
    <w:rsid w:val="587EF6A5"/>
    <w:rsid w:val="588A03EB"/>
    <w:rsid w:val="58998211"/>
    <w:rsid w:val="58A36B8E"/>
    <w:rsid w:val="58B9D4B3"/>
    <w:rsid w:val="58C0CCD5"/>
    <w:rsid w:val="58DC2DD8"/>
    <w:rsid w:val="59012DC9"/>
    <w:rsid w:val="5937FBCC"/>
    <w:rsid w:val="5946616E"/>
    <w:rsid w:val="594897C0"/>
    <w:rsid w:val="5953A28A"/>
    <w:rsid w:val="5957BE88"/>
    <w:rsid w:val="596AF637"/>
    <w:rsid w:val="59A00B46"/>
    <w:rsid w:val="59A126C6"/>
    <w:rsid w:val="59AD23AA"/>
    <w:rsid w:val="59B62B3B"/>
    <w:rsid w:val="59CCD0E2"/>
    <w:rsid w:val="59D882F7"/>
    <w:rsid w:val="5A09902C"/>
    <w:rsid w:val="5A2F9C0E"/>
    <w:rsid w:val="5A34BB95"/>
    <w:rsid w:val="5A5CEE69"/>
    <w:rsid w:val="5A6C059A"/>
    <w:rsid w:val="5A706596"/>
    <w:rsid w:val="5A8AB25A"/>
    <w:rsid w:val="5A9D6DD8"/>
    <w:rsid w:val="5AA1C30D"/>
    <w:rsid w:val="5AB1584B"/>
    <w:rsid w:val="5AB6E411"/>
    <w:rsid w:val="5AC027CF"/>
    <w:rsid w:val="5AC52AC4"/>
    <w:rsid w:val="5AC5C30C"/>
    <w:rsid w:val="5ACF5917"/>
    <w:rsid w:val="5AD1C0DF"/>
    <w:rsid w:val="5AE331D3"/>
    <w:rsid w:val="5AF2A3A0"/>
    <w:rsid w:val="5AF7BB7D"/>
    <w:rsid w:val="5B0D4059"/>
    <w:rsid w:val="5B1D060E"/>
    <w:rsid w:val="5B202F86"/>
    <w:rsid w:val="5B35BC92"/>
    <w:rsid w:val="5B3C1E0A"/>
    <w:rsid w:val="5B624B3F"/>
    <w:rsid w:val="5B62D5B8"/>
    <w:rsid w:val="5B899A0B"/>
    <w:rsid w:val="5B8F2F78"/>
    <w:rsid w:val="5B9149BC"/>
    <w:rsid w:val="5B932095"/>
    <w:rsid w:val="5BADD96D"/>
    <w:rsid w:val="5BE2F9CB"/>
    <w:rsid w:val="5BE4B74E"/>
    <w:rsid w:val="5BE5C323"/>
    <w:rsid w:val="5BE6D472"/>
    <w:rsid w:val="5BEA189E"/>
    <w:rsid w:val="5C01636E"/>
    <w:rsid w:val="5C0B15C7"/>
    <w:rsid w:val="5C1F1A5D"/>
    <w:rsid w:val="5C2CC98E"/>
    <w:rsid w:val="5C39997D"/>
    <w:rsid w:val="5C45E3B5"/>
    <w:rsid w:val="5C6149D8"/>
    <w:rsid w:val="5C7C3FB4"/>
    <w:rsid w:val="5C829843"/>
    <w:rsid w:val="5C8852DB"/>
    <w:rsid w:val="5CAF4C24"/>
    <w:rsid w:val="5CD350C7"/>
    <w:rsid w:val="5CE9C111"/>
    <w:rsid w:val="5CF86925"/>
    <w:rsid w:val="5D0755BC"/>
    <w:rsid w:val="5D157EC3"/>
    <w:rsid w:val="5D1E1F5D"/>
    <w:rsid w:val="5D2352EF"/>
    <w:rsid w:val="5D260DAE"/>
    <w:rsid w:val="5D269789"/>
    <w:rsid w:val="5D328C86"/>
    <w:rsid w:val="5D423D9E"/>
    <w:rsid w:val="5D529E4E"/>
    <w:rsid w:val="5D57C24C"/>
    <w:rsid w:val="5D5DF4DE"/>
    <w:rsid w:val="5D5FF3DD"/>
    <w:rsid w:val="5D624927"/>
    <w:rsid w:val="5D6AA765"/>
    <w:rsid w:val="5D6C05A3"/>
    <w:rsid w:val="5D7C3537"/>
    <w:rsid w:val="5D98C4D8"/>
    <w:rsid w:val="5DB22121"/>
    <w:rsid w:val="5DB84A01"/>
    <w:rsid w:val="5DEA6B88"/>
    <w:rsid w:val="5DEB6C79"/>
    <w:rsid w:val="5DF17FD4"/>
    <w:rsid w:val="5DFAC9C4"/>
    <w:rsid w:val="5E164C7A"/>
    <w:rsid w:val="5E370D58"/>
    <w:rsid w:val="5E3C1BE2"/>
    <w:rsid w:val="5E47188E"/>
    <w:rsid w:val="5E5985F2"/>
    <w:rsid w:val="5E82AB5B"/>
    <w:rsid w:val="5E88FB29"/>
    <w:rsid w:val="5E8F4416"/>
    <w:rsid w:val="5EA06B56"/>
    <w:rsid w:val="5EBC8EFD"/>
    <w:rsid w:val="5EC2A687"/>
    <w:rsid w:val="5EC76B71"/>
    <w:rsid w:val="5EDC4A42"/>
    <w:rsid w:val="5EE5C9FD"/>
    <w:rsid w:val="5F0BADFE"/>
    <w:rsid w:val="5F17F415"/>
    <w:rsid w:val="5F4A9763"/>
    <w:rsid w:val="5F4F8D31"/>
    <w:rsid w:val="5F6016AF"/>
    <w:rsid w:val="5F6588A9"/>
    <w:rsid w:val="5F832718"/>
    <w:rsid w:val="5F934997"/>
    <w:rsid w:val="5F99DC1C"/>
    <w:rsid w:val="5FA8CE85"/>
    <w:rsid w:val="5FB0916A"/>
    <w:rsid w:val="5FBA9B62"/>
    <w:rsid w:val="5FCFA093"/>
    <w:rsid w:val="5FE030B4"/>
    <w:rsid w:val="5FE8A7B6"/>
    <w:rsid w:val="5FF6B43E"/>
    <w:rsid w:val="60393CC0"/>
    <w:rsid w:val="603FFBE4"/>
    <w:rsid w:val="60404B02"/>
    <w:rsid w:val="6053B08D"/>
    <w:rsid w:val="605C6835"/>
    <w:rsid w:val="6067E332"/>
    <w:rsid w:val="6073586F"/>
    <w:rsid w:val="6082E4EE"/>
    <w:rsid w:val="60A86A34"/>
    <w:rsid w:val="60BBDB19"/>
    <w:rsid w:val="60C7A319"/>
    <w:rsid w:val="60D9F5EB"/>
    <w:rsid w:val="60E4A27B"/>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ED25E"/>
    <w:rsid w:val="61B75A5C"/>
    <w:rsid w:val="61CA4D44"/>
    <w:rsid w:val="61CD6398"/>
    <w:rsid w:val="61D9BC23"/>
    <w:rsid w:val="61E2E095"/>
    <w:rsid w:val="61E755ED"/>
    <w:rsid w:val="61EC98C4"/>
    <w:rsid w:val="61EF5A16"/>
    <w:rsid w:val="61EF80D4"/>
    <w:rsid w:val="61FA7ECB"/>
    <w:rsid w:val="6201D6D4"/>
    <w:rsid w:val="6208BC3D"/>
    <w:rsid w:val="620DB771"/>
    <w:rsid w:val="622FA15D"/>
    <w:rsid w:val="626CC9D9"/>
    <w:rsid w:val="628D1DA4"/>
    <w:rsid w:val="62920B64"/>
    <w:rsid w:val="6293024F"/>
    <w:rsid w:val="62BD9CCF"/>
    <w:rsid w:val="62C999F8"/>
    <w:rsid w:val="62D0D556"/>
    <w:rsid w:val="62D7F901"/>
    <w:rsid w:val="62E0D752"/>
    <w:rsid w:val="62E6EFBC"/>
    <w:rsid w:val="62F43B8B"/>
    <w:rsid w:val="6307231E"/>
    <w:rsid w:val="63137910"/>
    <w:rsid w:val="632C136E"/>
    <w:rsid w:val="634A1AD2"/>
    <w:rsid w:val="634E1571"/>
    <w:rsid w:val="635D2A89"/>
    <w:rsid w:val="636B219F"/>
    <w:rsid w:val="638DBF6A"/>
    <w:rsid w:val="638F0DCF"/>
    <w:rsid w:val="63918D5A"/>
    <w:rsid w:val="639BFC18"/>
    <w:rsid w:val="63AC986E"/>
    <w:rsid w:val="63AEC6E2"/>
    <w:rsid w:val="63C0D5DF"/>
    <w:rsid w:val="63DCE577"/>
    <w:rsid w:val="63E03F85"/>
    <w:rsid w:val="63EE454E"/>
    <w:rsid w:val="640DA67C"/>
    <w:rsid w:val="642341C1"/>
    <w:rsid w:val="6424E1C7"/>
    <w:rsid w:val="6427A522"/>
    <w:rsid w:val="6436BC03"/>
    <w:rsid w:val="64651E86"/>
    <w:rsid w:val="64813EE4"/>
    <w:rsid w:val="64A9A5CB"/>
    <w:rsid w:val="64EF72B2"/>
    <w:rsid w:val="6515C997"/>
    <w:rsid w:val="65194396"/>
    <w:rsid w:val="6527C256"/>
    <w:rsid w:val="653E7641"/>
    <w:rsid w:val="653FF20E"/>
    <w:rsid w:val="6554A2FF"/>
    <w:rsid w:val="65563804"/>
    <w:rsid w:val="655F9D1D"/>
    <w:rsid w:val="65741A41"/>
    <w:rsid w:val="657510B3"/>
    <w:rsid w:val="65757132"/>
    <w:rsid w:val="657B5B06"/>
    <w:rsid w:val="6593C3F5"/>
    <w:rsid w:val="65AAB288"/>
    <w:rsid w:val="65BBCF29"/>
    <w:rsid w:val="65C3E8B9"/>
    <w:rsid w:val="65CBA7BD"/>
    <w:rsid w:val="65CFF421"/>
    <w:rsid w:val="65D61294"/>
    <w:rsid w:val="65D7BF52"/>
    <w:rsid w:val="65DA020E"/>
    <w:rsid w:val="65DB52AD"/>
    <w:rsid w:val="65DB835E"/>
    <w:rsid w:val="65EA4EE8"/>
    <w:rsid w:val="660E7615"/>
    <w:rsid w:val="660FD78A"/>
    <w:rsid w:val="66129003"/>
    <w:rsid w:val="66347ADA"/>
    <w:rsid w:val="6637FCCA"/>
    <w:rsid w:val="66787089"/>
    <w:rsid w:val="66839365"/>
    <w:rsid w:val="6692F8F1"/>
    <w:rsid w:val="66DE06C3"/>
    <w:rsid w:val="66E63FFC"/>
    <w:rsid w:val="66E78E9B"/>
    <w:rsid w:val="66F3BA14"/>
    <w:rsid w:val="670C8756"/>
    <w:rsid w:val="67141810"/>
    <w:rsid w:val="6726D73D"/>
    <w:rsid w:val="672924B2"/>
    <w:rsid w:val="6756A6ED"/>
    <w:rsid w:val="675AAB93"/>
    <w:rsid w:val="675CAE5E"/>
    <w:rsid w:val="6779FEFF"/>
    <w:rsid w:val="677F3167"/>
    <w:rsid w:val="677F6DEB"/>
    <w:rsid w:val="67B74176"/>
    <w:rsid w:val="67B94AAA"/>
    <w:rsid w:val="67C2C69B"/>
    <w:rsid w:val="67C9DAF6"/>
    <w:rsid w:val="68028664"/>
    <w:rsid w:val="68172EF6"/>
    <w:rsid w:val="682F55D4"/>
    <w:rsid w:val="68376A14"/>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11A713"/>
    <w:rsid w:val="6911D8BF"/>
    <w:rsid w:val="694193D5"/>
    <w:rsid w:val="69457783"/>
    <w:rsid w:val="69548845"/>
    <w:rsid w:val="69715908"/>
    <w:rsid w:val="69898484"/>
    <w:rsid w:val="699FEB0E"/>
    <w:rsid w:val="69A21299"/>
    <w:rsid w:val="69C163C6"/>
    <w:rsid w:val="69C4830F"/>
    <w:rsid w:val="69D6E5A7"/>
    <w:rsid w:val="69D77D0E"/>
    <w:rsid w:val="69D82992"/>
    <w:rsid w:val="69E716CD"/>
    <w:rsid w:val="6A0F02E1"/>
    <w:rsid w:val="6A1F32EF"/>
    <w:rsid w:val="6A26DF36"/>
    <w:rsid w:val="6A4500E2"/>
    <w:rsid w:val="6A6B02AC"/>
    <w:rsid w:val="6A6D2FCF"/>
    <w:rsid w:val="6A70F40A"/>
    <w:rsid w:val="6A7C4F98"/>
    <w:rsid w:val="6A7CCCE5"/>
    <w:rsid w:val="6A806DBD"/>
    <w:rsid w:val="6A80E65E"/>
    <w:rsid w:val="6A9E9575"/>
    <w:rsid w:val="6AC6379A"/>
    <w:rsid w:val="6AC6BF35"/>
    <w:rsid w:val="6AF8E112"/>
    <w:rsid w:val="6AFAFD5D"/>
    <w:rsid w:val="6B0C0FCB"/>
    <w:rsid w:val="6B20F426"/>
    <w:rsid w:val="6B22EDC9"/>
    <w:rsid w:val="6B237E24"/>
    <w:rsid w:val="6B3638EF"/>
    <w:rsid w:val="6B43A42A"/>
    <w:rsid w:val="6B5559C8"/>
    <w:rsid w:val="6B5E05EF"/>
    <w:rsid w:val="6B646B04"/>
    <w:rsid w:val="6B66657C"/>
    <w:rsid w:val="6B6DF735"/>
    <w:rsid w:val="6B6F9887"/>
    <w:rsid w:val="6B706258"/>
    <w:rsid w:val="6B7D8D57"/>
    <w:rsid w:val="6B7E8D20"/>
    <w:rsid w:val="6B97B1B3"/>
    <w:rsid w:val="6BBB608A"/>
    <w:rsid w:val="6BC909F3"/>
    <w:rsid w:val="6BE28A03"/>
    <w:rsid w:val="6C05A795"/>
    <w:rsid w:val="6C19841E"/>
    <w:rsid w:val="6C30A84B"/>
    <w:rsid w:val="6C3A06BF"/>
    <w:rsid w:val="6C42CE13"/>
    <w:rsid w:val="6C8F611C"/>
    <w:rsid w:val="6C91D390"/>
    <w:rsid w:val="6CAD6F21"/>
    <w:rsid w:val="6CB0B3F9"/>
    <w:rsid w:val="6CB66013"/>
    <w:rsid w:val="6CBEDB7C"/>
    <w:rsid w:val="6CC9E787"/>
    <w:rsid w:val="6CCB44C8"/>
    <w:rsid w:val="6CCE7BFC"/>
    <w:rsid w:val="6CD79FBD"/>
    <w:rsid w:val="6CF375B9"/>
    <w:rsid w:val="6CFBFA59"/>
    <w:rsid w:val="6D0EC136"/>
    <w:rsid w:val="6D163299"/>
    <w:rsid w:val="6D19101F"/>
    <w:rsid w:val="6D32B1D7"/>
    <w:rsid w:val="6D47BA3E"/>
    <w:rsid w:val="6D47D1D1"/>
    <w:rsid w:val="6D796410"/>
    <w:rsid w:val="6D911A1A"/>
    <w:rsid w:val="6D9184D2"/>
    <w:rsid w:val="6DAA896C"/>
    <w:rsid w:val="6DADEAB3"/>
    <w:rsid w:val="6DAF1BAA"/>
    <w:rsid w:val="6DBD27A8"/>
    <w:rsid w:val="6DC6B2A4"/>
    <w:rsid w:val="6DC80B93"/>
    <w:rsid w:val="6DD8A6B3"/>
    <w:rsid w:val="6DDBB840"/>
    <w:rsid w:val="6DF399AB"/>
    <w:rsid w:val="6DFF8C1A"/>
    <w:rsid w:val="6E158903"/>
    <w:rsid w:val="6E2EF841"/>
    <w:rsid w:val="6E56EBCD"/>
    <w:rsid w:val="6E6EDC30"/>
    <w:rsid w:val="6E6F0ABC"/>
    <w:rsid w:val="6E9AE98D"/>
    <w:rsid w:val="6EA5E0C2"/>
    <w:rsid w:val="6EA8BB72"/>
    <w:rsid w:val="6EAC5175"/>
    <w:rsid w:val="6EAD20BE"/>
    <w:rsid w:val="6EBF2CC7"/>
    <w:rsid w:val="6EC02AD8"/>
    <w:rsid w:val="6EC25A3D"/>
    <w:rsid w:val="6EC4625E"/>
    <w:rsid w:val="6EDD0C7A"/>
    <w:rsid w:val="6EE3CB8F"/>
    <w:rsid w:val="6EE54F1A"/>
    <w:rsid w:val="6EEEB76C"/>
    <w:rsid w:val="6EF1DBC6"/>
    <w:rsid w:val="6EF67FF4"/>
    <w:rsid w:val="6EFA3056"/>
    <w:rsid w:val="6F175F77"/>
    <w:rsid w:val="6F1ED7FE"/>
    <w:rsid w:val="6F2CED76"/>
    <w:rsid w:val="6F568A18"/>
    <w:rsid w:val="6F644ED4"/>
    <w:rsid w:val="6F6F7DEB"/>
    <w:rsid w:val="6F78B430"/>
    <w:rsid w:val="6F859D17"/>
    <w:rsid w:val="6F8D3D21"/>
    <w:rsid w:val="6F9CC546"/>
    <w:rsid w:val="6FB862E5"/>
    <w:rsid w:val="6FCBAFBF"/>
    <w:rsid w:val="6FDE959C"/>
    <w:rsid w:val="6FF54DAE"/>
    <w:rsid w:val="70101AEE"/>
    <w:rsid w:val="702C8464"/>
    <w:rsid w:val="70507C0C"/>
    <w:rsid w:val="70B45D6B"/>
    <w:rsid w:val="70C58E9A"/>
    <w:rsid w:val="70C59CA3"/>
    <w:rsid w:val="70D30D06"/>
    <w:rsid w:val="70DA9074"/>
    <w:rsid w:val="70E4FBB1"/>
    <w:rsid w:val="70E829C5"/>
    <w:rsid w:val="71093D2A"/>
    <w:rsid w:val="7113DBA9"/>
    <w:rsid w:val="711F7FDF"/>
    <w:rsid w:val="71C21FE6"/>
    <w:rsid w:val="71C78E9C"/>
    <w:rsid w:val="71D975B1"/>
    <w:rsid w:val="71E43BA2"/>
    <w:rsid w:val="71E6274E"/>
    <w:rsid w:val="71F9D9C0"/>
    <w:rsid w:val="721ADA84"/>
    <w:rsid w:val="7225A932"/>
    <w:rsid w:val="723BCDDD"/>
    <w:rsid w:val="7250486B"/>
    <w:rsid w:val="7261ACB2"/>
    <w:rsid w:val="727B8760"/>
    <w:rsid w:val="72993E33"/>
    <w:rsid w:val="72B8E107"/>
    <w:rsid w:val="72C9E593"/>
    <w:rsid w:val="7303982C"/>
    <w:rsid w:val="73144884"/>
    <w:rsid w:val="73188B9A"/>
    <w:rsid w:val="732927B1"/>
    <w:rsid w:val="7333B9E4"/>
    <w:rsid w:val="7341B323"/>
    <w:rsid w:val="734D4BE0"/>
    <w:rsid w:val="735F8F36"/>
    <w:rsid w:val="7367B3B3"/>
    <w:rsid w:val="7377921A"/>
    <w:rsid w:val="73816434"/>
    <w:rsid w:val="73A41265"/>
    <w:rsid w:val="73AA76E9"/>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C16F10"/>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75E10"/>
    <w:rsid w:val="75C08330"/>
    <w:rsid w:val="75C30667"/>
    <w:rsid w:val="75E26BA1"/>
    <w:rsid w:val="7601F9D8"/>
    <w:rsid w:val="76267D3A"/>
    <w:rsid w:val="7638A6EC"/>
    <w:rsid w:val="763EF0D0"/>
    <w:rsid w:val="7647E2C1"/>
    <w:rsid w:val="7652E58A"/>
    <w:rsid w:val="765ABBD5"/>
    <w:rsid w:val="765D3BE1"/>
    <w:rsid w:val="7660698E"/>
    <w:rsid w:val="76673774"/>
    <w:rsid w:val="76885762"/>
    <w:rsid w:val="7690B084"/>
    <w:rsid w:val="76B0857B"/>
    <w:rsid w:val="76B0FB7E"/>
    <w:rsid w:val="76C02BA7"/>
    <w:rsid w:val="76E61A7A"/>
    <w:rsid w:val="76FF4FD1"/>
    <w:rsid w:val="77088C49"/>
    <w:rsid w:val="770F3760"/>
    <w:rsid w:val="77244525"/>
    <w:rsid w:val="772A5C23"/>
    <w:rsid w:val="7730B82E"/>
    <w:rsid w:val="774B85D6"/>
    <w:rsid w:val="774D921D"/>
    <w:rsid w:val="775396E7"/>
    <w:rsid w:val="775FDDFD"/>
    <w:rsid w:val="7776F0BE"/>
    <w:rsid w:val="7780CEE2"/>
    <w:rsid w:val="779F12B4"/>
    <w:rsid w:val="77A6410D"/>
    <w:rsid w:val="77AD68E8"/>
    <w:rsid w:val="77BAB24F"/>
    <w:rsid w:val="77E06F04"/>
    <w:rsid w:val="77EF3C56"/>
    <w:rsid w:val="77F026A1"/>
    <w:rsid w:val="77FA9451"/>
    <w:rsid w:val="780CBBAF"/>
    <w:rsid w:val="782906B2"/>
    <w:rsid w:val="78311935"/>
    <w:rsid w:val="78421F22"/>
    <w:rsid w:val="78545942"/>
    <w:rsid w:val="7858B36B"/>
    <w:rsid w:val="78594B3B"/>
    <w:rsid w:val="785C506A"/>
    <w:rsid w:val="7861F066"/>
    <w:rsid w:val="788E25E1"/>
    <w:rsid w:val="789A869D"/>
    <w:rsid w:val="78AAC40D"/>
    <w:rsid w:val="78B09773"/>
    <w:rsid w:val="78B3E795"/>
    <w:rsid w:val="78C21042"/>
    <w:rsid w:val="78D30105"/>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32035"/>
    <w:rsid w:val="79E37122"/>
    <w:rsid w:val="79E91311"/>
    <w:rsid w:val="7A01B515"/>
    <w:rsid w:val="7A119D25"/>
    <w:rsid w:val="7A26F7BD"/>
    <w:rsid w:val="7A34F8B4"/>
    <w:rsid w:val="7A3C0E85"/>
    <w:rsid w:val="7A44C5E5"/>
    <w:rsid w:val="7A59DD87"/>
    <w:rsid w:val="7A70F8FA"/>
    <w:rsid w:val="7A7A7F94"/>
    <w:rsid w:val="7A930BB9"/>
    <w:rsid w:val="7A953C5E"/>
    <w:rsid w:val="7AB7300D"/>
    <w:rsid w:val="7ABD2B75"/>
    <w:rsid w:val="7AD5B634"/>
    <w:rsid w:val="7AF79C40"/>
    <w:rsid w:val="7B0819E9"/>
    <w:rsid w:val="7B1BB6B5"/>
    <w:rsid w:val="7B4073F8"/>
    <w:rsid w:val="7B510DB7"/>
    <w:rsid w:val="7B5DCE2E"/>
    <w:rsid w:val="7B8BEB8A"/>
    <w:rsid w:val="7B96D4C3"/>
    <w:rsid w:val="7B985407"/>
    <w:rsid w:val="7BA0555A"/>
    <w:rsid w:val="7BAE3971"/>
    <w:rsid w:val="7BB135E3"/>
    <w:rsid w:val="7BB514B4"/>
    <w:rsid w:val="7BC5AA6D"/>
    <w:rsid w:val="7BDB229E"/>
    <w:rsid w:val="7BDDD131"/>
    <w:rsid w:val="7BF32A4D"/>
    <w:rsid w:val="7C2BE95E"/>
    <w:rsid w:val="7C41F61D"/>
    <w:rsid w:val="7C47C767"/>
    <w:rsid w:val="7C65BE53"/>
    <w:rsid w:val="7C69870A"/>
    <w:rsid w:val="7C6E01A0"/>
    <w:rsid w:val="7C77DF26"/>
    <w:rsid w:val="7C7F32DB"/>
    <w:rsid w:val="7CA03EE8"/>
    <w:rsid w:val="7CA0FAA0"/>
    <w:rsid w:val="7CA1A1C6"/>
    <w:rsid w:val="7CC926D1"/>
    <w:rsid w:val="7CDF1D01"/>
    <w:rsid w:val="7CF19B50"/>
    <w:rsid w:val="7CFB4E46"/>
    <w:rsid w:val="7D010E62"/>
    <w:rsid w:val="7D06F134"/>
    <w:rsid w:val="7D1EB122"/>
    <w:rsid w:val="7D1FD7FE"/>
    <w:rsid w:val="7D3302D7"/>
    <w:rsid w:val="7D3996EE"/>
    <w:rsid w:val="7D58C43F"/>
    <w:rsid w:val="7D8F34D7"/>
    <w:rsid w:val="7DA31172"/>
    <w:rsid w:val="7DA89052"/>
    <w:rsid w:val="7DA92878"/>
    <w:rsid w:val="7DB8B237"/>
    <w:rsid w:val="7DC6F2C8"/>
    <w:rsid w:val="7DD90F54"/>
    <w:rsid w:val="7DE77F97"/>
    <w:rsid w:val="7E30EFFE"/>
    <w:rsid w:val="7E350B22"/>
    <w:rsid w:val="7E501DBB"/>
    <w:rsid w:val="7E554D2A"/>
    <w:rsid w:val="7E5A0789"/>
    <w:rsid w:val="7E6BFA73"/>
    <w:rsid w:val="7E770CFC"/>
    <w:rsid w:val="7E7BD203"/>
    <w:rsid w:val="7E8AA166"/>
    <w:rsid w:val="7EC908D2"/>
    <w:rsid w:val="7F028A9A"/>
    <w:rsid w:val="7F1CC1E2"/>
    <w:rsid w:val="7F2ACDCA"/>
    <w:rsid w:val="7F3B7E8F"/>
    <w:rsid w:val="7F4EA660"/>
    <w:rsid w:val="7F662251"/>
    <w:rsid w:val="7F6A2EF7"/>
    <w:rsid w:val="7F880194"/>
    <w:rsid w:val="7F8D072E"/>
    <w:rsid w:val="7FA454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2664F"/>
  <w15:chartTrackingRefBased/>
  <w15:docId w15:val="{D2A6A089-9130-4224-AAB2-BB130981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57"/>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B4D7A"/>
    <w:pPr>
      <w:tabs>
        <w:tab w:val="left" w:pos="1985"/>
        <w:tab w:val="right" w:leader="dot" w:pos="8828"/>
      </w:tabs>
      <w:spacing w:line="360" w:lineRule="auto"/>
      <w:jc w:val="both"/>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customStyle="1" w:styleId="Mencinsinresolver3">
    <w:name w:val="Mención sin resolver3"/>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E2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5989211">
      <w:bodyDiv w:val="1"/>
      <w:marLeft w:val="0"/>
      <w:marRight w:val="0"/>
      <w:marTop w:val="0"/>
      <w:marBottom w:val="0"/>
      <w:divBdr>
        <w:top w:val="none" w:sz="0" w:space="0" w:color="auto"/>
        <w:left w:val="none" w:sz="0" w:space="0" w:color="auto"/>
        <w:bottom w:val="none" w:sz="0" w:space="0" w:color="auto"/>
        <w:right w:val="none" w:sz="0" w:space="0" w:color="auto"/>
      </w:divBdr>
    </w:div>
    <w:div w:id="28184180">
      <w:bodyDiv w:val="1"/>
      <w:marLeft w:val="0"/>
      <w:marRight w:val="0"/>
      <w:marTop w:val="0"/>
      <w:marBottom w:val="0"/>
      <w:divBdr>
        <w:top w:val="none" w:sz="0" w:space="0" w:color="auto"/>
        <w:left w:val="none" w:sz="0" w:space="0" w:color="auto"/>
        <w:bottom w:val="none" w:sz="0" w:space="0" w:color="auto"/>
        <w:right w:val="none" w:sz="0" w:space="0" w:color="auto"/>
      </w:divBdr>
    </w:div>
    <w:div w:id="38021082">
      <w:bodyDiv w:val="1"/>
      <w:marLeft w:val="0"/>
      <w:marRight w:val="0"/>
      <w:marTop w:val="0"/>
      <w:marBottom w:val="0"/>
      <w:divBdr>
        <w:top w:val="none" w:sz="0" w:space="0" w:color="auto"/>
        <w:left w:val="none" w:sz="0" w:space="0" w:color="auto"/>
        <w:bottom w:val="none" w:sz="0" w:space="0" w:color="auto"/>
        <w:right w:val="none" w:sz="0" w:space="0" w:color="auto"/>
      </w:divBdr>
    </w:div>
    <w:div w:id="91706775">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57501660">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176503660">
      <w:bodyDiv w:val="1"/>
      <w:marLeft w:val="0"/>
      <w:marRight w:val="0"/>
      <w:marTop w:val="0"/>
      <w:marBottom w:val="0"/>
      <w:divBdr>
        <w:top w:val="none" w:sz="0" w:space="0" w:color="auto"/>
        <w:left w:val="none" w:sz="0" w:space="0" w:color="auto"/>
        <w:bottom w:val="none" w:sz="0" w:space="0" w:color="auto"/>
        <w:right w:val="none" w:sz="0" w:space="0" w:color="auto"/>
      </w:divBdr>
    </w:div>
    <w:div w:id="177738272">
      <w:bodyDiv w:val="1"/>
      <w:marLeft w:val="0"/>
      <w:marRight w:val="0"/>
      <w:marTop w:val="0"/>
      <w:marBottom w:val="0"/>
      <w:divBdr>
        <w:top w:val="none" w:sz="0" w:space="0" w:color="auto"/>
        <w:left w:val="none" w:sz="0" w:space="0" w:color="auto"/>
        <w:bottom w:val="none" w:sz="0" w:space="0" w:color="auto"/>
        <w:right w:val="none" w:sz="0" w:space="0" w:color="auto"/>
      </w:divBdr>
    </w:div>
    <w:div w:id="178203404">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216750212">
      <w:bodyDiv w:val="1"/>
      <w:marLeft w:val="0"/>
      <w:marRight w:val="0"/>
      <w:marTop w:val="0"/>
      <w:marBottom w:val="0"/>
      <w:divBdr>
        <w:top w:val="none" w:sz="0" w:space="0" w:color="auto"/>
        <w:left w:val="none" w:sz="0" w:space="0" w:color="auto"/>
        <w:bottom w:val="none" w:sz="0" w:space="0" w:color="auto"/>
        <w:right w:val="none" w:sz="0" w:space="0" w:color="auto"/>
      </w:divBdr>
    </w:div>
    <w:div w:id="241138865">
      <w:bodyDiv w:val="1"/>
      <w:marLeft w:val="0"/>
      <w:marRight w:val="0"/>
      <w:marTop w:val="0"/>
      <w:marBottom w:val="0"/>
      <w:divBdr>
        <w:top w:val="none" w:sz="0" w:space="0" w:color="auto"/>
        <w:left w:val="none" w:sz="0" w:space="0" w:color="auto"/>
        <w:bottom w:val="none" w:sz="0" w:space="0" w:color="auto"/>
        <w:right w:val="none" w:sz="0" w:space="0" w:color="auto"/>
      </w:divBdr>
    </w:div>
    <w:div w:id="269826673">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36732715">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40876297">
      <w:bodyDiv w:val="1"/>
      <w:marLeft w:val="0"/>
      <w:marRight w:val="0"/>
      <w:marTop w:val="0"/>
      <w:marBottom w:val="0"/>
      <w:divBdr>
        <w:top w:val="none" w:sz="0" w:space="0" w:color="auto"/>
        <w:left w:val="none" w:sz="0" w:space="0" w:color="auto"/>
        <w:bottom w:val="none" w:sz="0" w:space="0" w:color="auto"/>
        <w:right w:val="none" w:sz="0" w:space="0" w:color="auto"/>
      </w:divBdr>
    </w:div>
    <w:div w:id="473565700">
      <w:bodyDiv w:val="1"/>
      <w:marLeft w:val="0"/>
      <w:marRight w:val="0"/>
      <w:marTop w:val="0"/>
      <w:marBottom w:val="0"/>
      <w:divBdr>
        <w:top w:val="none" w:sz="0" w:space="0" w:color="auto"/>
        <w:left w:val="none" w:sz="0" w:space="0" w:color="auto"/>
        <w:bottom w:val="none" w:sz="0" w:space="0" w:color="auto"/>
        <w:right w:val="none" w:sz="0" w:space="0" w:color="auto"/>
      </w:divBdr>
    </w:div>
    <w:div w:id="474446130">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44295717">
      <w:bodyDiv w:val="1"/>
      <w:marLeft w:val="0"/>
      <w:marRight w:val="0"/>
      <w:marTop w:val="0"/>
      <w:marBottom w:val="0"/>
      <w:divBdr>
        <w:top w:val="none" w:sz="0" w:space="0" w:color="auto"/>
        <w:left w:val="none" w:sz="0" w:space="0" w:color="auto"/>
        <w:bottom w:val="none" w:sz="0" w:space="0" w:color="auto"/>
        <w:right w:val="none" w:sz="0" w:space="0" w:color="auto"/>
      </w:divBdr>
    </w:div>
    <w:div w:id="552888764">
      <w:bodyDiv w:val="1"/>
      <w:marLeft w:val="0"/>
      <w:marRight w:val="0"/>
      <w:marTop w:val="0"/>
      <w:marBottom w:val="0"/>
      <w:divBdr>
        <w:top w:val="none" w:sz="0" w:space="0" w:color="auto"/>
        <w:left w:val="none" w:sz="0" w:space="0" w:color="auto"/>
        <w:bottom w:val="none" w:sz="0" w:space="0" w:color="auto"/>
        <w:right w:val="none" w:sz="0" w:space="0" w:color="auto"/>
      </w:divBdr>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26424749">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656349463">
      <w:bodyDiv w:val="1"/>
      <w:marLeft w:val="0"/>
      <w:marRight w:val="0"/>
      <w:marTop w:val="0"/>
      <w:marBottom w:val="0"/>
      <w:divBdr>
        <w:top w:val="none" w:sz="0" w:space="0" w:color="auto"/>
        <w:left w:val="none" w:sz="0" w:space="0" w:color="auto"/>
        <w:bottom w:val="none" w:sz="0" w:space="0" w:color="auto"/>
        <w:right w:val="none" w:sz="0" w:space="0" w:color="auto"/>
      </w:divBdr>
    </w:div>
    <w:div w:id="687292458">
      <w:bodyDiv w:val="1"/>
      <w:marLeft w:val="0"/>
      <w:marRight w:val="0"/>
      <w:marTop w:val="0"/>
      <w:marBottom w:val="0"/>
      <w:divBdr>
        <w:top w:val="none" w:sz="0" w:space="0" w:color="auto"/>
        <w:left w:val="none" w:sz="0" w:space="0" w:color="auto"/>
        <w:bottom w:val="none" w:sz="0" w:space="0" w:color="auto"/>
        <w:right w:val="none" w:sz="0" w:space="0" w:color="auto"/>
      </w:divBdr>
    </w:div>
    <w:div w:id="714739374">
      <w:bodyDiv w:val="1"/>
      <w:marLeft w:val="0"/>
      <w:marRight w:val="0"/>
      <w:marTop w:val="0"/>
      <w:marBottom w:val="0"/>
      <w:divBdr>
        <w:top w:val="none" w:sz="0" w:space="0" w:color="auto"/>
        <w:left w:val="none" w:sz="0" w:space="0" w:color="auto"/>
        <w:bottom w:val="none" w:sz="0" w:space="0" w:color="auto"/>
        <w:right w:val="none" w:sz="0" w:space="0" w:color="auto"/>
      </w:divBdr>
    </w:div>
    <w:div w:id="746001135">
      <w:bodyDiv w:val="1"/>
      <w:marLeft w:val="0"/>
      <w:marRight w:val="0"/>
      <w:marTop w:val="0"/>
      <w:marBottom w:val="0"/>
      <w:divBdr>
        <w:top w:val="none" w:sz="0" w:space="0" w:color="auto"/>
        <w:left w:val="none" w:sz="0" w:space="0" w:color="auto"/>
        <w:bottom w:val="none" w:sz="0" w:space="0" w:color="auto"/>
        <w:right w:val="none" w:sz="0" w:space="0" w:color="auto"/>
      </w:divBdr>
    </w:div>
    <w:div w:id="766771323">
      <w:bodyDiv w:val="1"/>
      <w:marLeft w:val="0"/>
      <w:marRight w:val="0"/>
      <w:marTop w:val="0"/>
      <w:marBottom w:val="0"/>
      <w:divBdr>
        <w:top w:val="none" w:sz="0" w:space="0" w:color="auto"/>
        <w:left w:val="none" w:sz="0" w:space="0" w:color="auto"/>
        <w:bottom w:val="none" w:sz="0" w:space="0" w:color="auto"/>
        <w:right w:val="none" w:sz="0" w:space="0" w:color="auto"/>
      </w:divBdr>
    </w:div>
    <w:div w:id="777986973">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1424299">
      <w:bodyDiv w:val="1"/>
      <w:marLeft w:val="0"/>
      <w:marRight w:val="0"/>
      <w:marTop w:val="0"/>
      <w:marBottom w:val="0"/>
      <w:divBdr>
        <w:top w:val="none" w:sz="0" w:space="0" w:color="auto"/>
        <w:left w:val="none" w:sz="0" w:space="0" w:color="auto"/>
        <w:bottom w:val="none" w:sz="0" w:space="0" w:color="auto"/>
        <w:right w:val="none" w:sz="0" w:space="0" w:color="auto"/>
      </w:divBdr>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034649">
      <w:bodyDiv w:val="1"/>
      <w:marLeft w:val="0"/>
      <w:marRight w:val="0"/>
      <w:marTop w:val="0"/>
      <w:marBottom w:val="0"/>
      <w:divBdr>
        <w:top w:val="none" w:sz="0" w:space="0" w:color="auto"/>
        <w:left w:val="none" w:sz="0" w:space="0" w:color="auto"/>
        <w:bottom w:val="none" w:sz="0" w:space="0" w:color="auto"/>
        <w:right w:val="none" w:sz="0" w:space="0" w:color="auto"/>
      </w:divBdr>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82152471">
      <w:bodyDiv w:val="1"/>
      <w:marLeft w:val="0"/>
      <w:marRight w:val="0"/>
      <w:marTop w:val="0"/>
      <w:marBottom w:val="0"/>
      <w:divBdr>
        <w:top w:val="none" w:sz="0" w:space="0" w:color="auto"/>
        <w:left w:val="none" w:sz="0" w:space="0" w:color="auto"/>
        <w:bottom w:val="none" w:sz="0" w:space="0" w:color="auto"/>
        <w:right w:val="none" w:sz="0" w:space="0" w:color="auto"/>
      </w:divBdr>
    </w:div>
    <w:div w:id="986513522">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08828393">
      <w:bodyDiv w:val="1"/>
      <w:marLeft w:val="0"/>
      <w:marRight w:val="0"/>
      <w:marTop w:val="0"/>
      <w:marBottom w:val="0"/>
      <w:divBdr>
        <w:top w:val="none" w:sz="0" w:space="0" w:color="auto"/>
        <w:left w:val="none" w:sz="0" w:space="0" w:color="auto"/>
        <w:bottom w:val="none" w:sz="0" w:space="0" w:color="auto"/>
        <w:right w:val="none" w:sz="0" w:space="0" w:color="auto"/>
      </w:divBdr>
    </w:div>
    <w:div w:id="1013217474">
      <w:bodyDiv w:val="1"/>
      <w:marLeft w:val="0"/>
      <w:marRight w:val="0"/>
      <w:marTop w:val="0"/>
      <w:marBottom w:val="0"/>
      <w:divBdr>
        <w:top w:val="none" w:sz="0" w:space="0" w:color="auto"/>
        <w:left w:val="none" w:sz="0" w:space="0" w:color="auto"/>
        <w:bottom w:val="none" w:sz="0" w:space="0" w:color="auto"/>
        <w:right w:val="none" w:sz="0" w:space="0" w:color="auto"/>
      </w:divBdr>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60976758">
      <w:bodyDiv w:val="1"/>
      <w:marLeft w:val="0"/>
      <w:marRight w:val="0"/>
      <w:marTop w:val="0"/>
      <w:marBottom w:val="0"/>
      <w:divBdr>
        <w:top w:val="none" w:sz="0" w:space="0" w:color="auto"/>
        <w:left w:val="none" w:sz="0" w:space="0" w:color="auto"/>
        <w:bottom w:val="none" w:sz="0" w:space="0" w:color="auto"/>
        <w:right w:val="none" w:sz="0" w:space="0" w:color="auto"/>
      </w:divBdr>
    </w:div>
    <w:div w:id="1093824072">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06924898">
      <w:bodyDiv w:val="1"/>
      <w:marLeft w:val="0"/>
      <w:marRight w:val="0"/>
      <w:marTop w:val="0"/>
      <w:marBottom w:val="0"/>
      <w:divBdr>
        <w:top w:val="none" w:sz="0" w:space="0" w:color="auto"/>
        <w:left w:val="none" w:sz="0" w:space="0" w:color="auto"/>
        <w:bottom w:val="none" w:sz="0" w:space="0" w:color="auto"/>
        <w:right w:val="none" w:sz="0" w:space="0" w:color="auto"/>
      </w:divBdr>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20241067">
      <w:bodyDiv w:val="1"/>
      <w:marLeft w:val="0"/>
      <w:marRight w:val="0"/>
      <w:marTop w:val="0"/>
      <w:marBottom w:val="0"/>
      <w:divBdr>
        <w:top w:val="none" w:sz="0" w:space="0" w:color="auto"/>
        <w:left w:val="none" w:sz="0" w:space="0" w:color="auto"/>
        <w:bottom w:val="none" w:sz="0" w:space="0" w:color="auto"/>
        <w:right w:val="none" w:sz="0" w:space="0" w:color="auto"/>
      </w:divBdr>
      <w:divsChild>
        <w:div w:id="878055901">
          <w:marLeft w:val="0"/>
          <w:marRight w:val="0"/>
          <w:marTop w:val="0"/>
          <w:marBottom w:val="0"/>
          <w:divBdr>
            <w:top w:val="none" w:sz="0" w:space="0" w:color="auto"/>
            <w:left w:val="none" w:sz="0" w:space="0" w:color="auto"/>
            <w:bottom w:val="none" w:sz="0" w:space="0" w:color="auto"/>
            <w:right w:val="none" w:sz="0" w:space="0" w:color="auto"/>
          </w:divBdr>
          <w:divsChild>
            <w:div w:id="148597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316567848">
      <w:bodyDiv w:val="1"/>
      <w:marLeft w:val="0"/>
      <w:marRight w:val="0"/>
      <w:marTop w:val="0"/>
      <w:marBottom w:val="0"/>
      <w:divBdr>
        <w:top w:val="none" w:sz="0" w:space="0" w:color="auto"/>
        <w:left w:val="none" w:sz="0" w:space="0" w:color="auto"/>
        <w:bottom w:val="none" w:sz="0" w:space="0" w:color="auto"/>
        <w:right w:val="none" w:sz="0" w:space="0" w:color="auto"/>
      </w:divBdr>
    </w:div>
    <w:div w:id="1353337328">
      <w:bodyDiv w:val="1"/>
      <w:marLeft w:val="0"/>
      <w:marRight w:val="0"/>
      <w:marTop w:val="0"/>
      <w:marBottom w:val="0"/>
      <w:divBdr>
        <w:top w:val="none" w:sz="0" w:space="0" w:color="auto"/>
        <w:left w:val="none" w:sz="0" w:space="0" w:color="auto"/>
        <w:bottom w:val="none" w:sz="0" w:space="0" w:color="auto"/>
        <w:right w:val="none" w:sz="0" w:space="0" w:color="auto"/>
      </w:divBdr>
    </w:div>
    <w:div w:id="1369452869">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46787">
      <w:bodyDiv w:val="1"/>
      <w:marLeft w:val="0"/>
      <w:marRight w:val="0"/>
      <w:marTop w:val="0"/>
      <w:marBottom w:val="0"/>
      <w:divBdr>
        <w:top w:val="none" w:sz="0" w:space="0" w:color="auto"/>
        <w:left w:val="none" w:sz="0" w:space="0" w:color="auto"/>
        <w:bottom w:val="none" w:sz="0" w:space="0" w:color="auto"/>
        <w:right w:val="none" w:sz="0" w:space="0" w:color="auto"/>
      </w:divBdr>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57231504">
      <w:bodyDiv w:val="1"/>
      <w:marLeft w:val="0"/>
      <w:marRight w:val="0"/>
      <w:marTop w:val="0"/>
      <w:marBottom w:val="0"/>
      <w:divBdr>
        <w:top w:val="none" w:sz="0" w:space="0" w:color="auto"/>
        <w:left w:val="none" w:sz="0" w:space="0" w:color="auto"/>
        <w:bottom w:val="none" w:sz="0" w:space="0" w:color="auto"/>
        <w:right w:val="none" w:sz="0" w:space="0" w:color="auto"/>
      </w:divBdr>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1760925">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05325096">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55664190">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10976625">
      <w:bodyDiv w:val="1"/>
      <w:marLeft w:val="0"/>
      <w:marRight w:val="0"/>
      <w:marTop w:val="0"/>
      <w:marBottom w:val="0"/>
      <w:divBdr>
        <w:top w:val="none" w:sz="0" w:space="0" w:color="auto"/>
        <w:left w:val="none" w:sz="0" w:space="0" w:color="auto"/>
        <w:bottom w:val="none" w:sz="0" w:space="0" w:color="auto"/>
        <w:right w:val="none" w:sz="0" w:space="0" w:color="auto"/>
      </w:divBdr>
      <w:divsChild>
        <w:div w:id="1523779380">
          <w:marLeft w:val="0"/>
          <w:marRight w:val="0"/>
          <w:marTop w:val="0"/>
          <w:marBottom w:val="0"/>
          <w:divBdr>
            <w:top w:val="none" w:sz="0" w:space="0" w:color="auto"/>
            <w:left w:val="none" w:sz="0" w:space="0" w:color="auto"/>
            <w:bottom w:val="none" w:sz="0" w:space="0" w:color="auto"/>
            <w:right w:val="none" w:sz="0" w:space="0" w:color="auto"/>
          </w:divBdr>
          <w:divsChild>
            <w:div w:id="18142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3880">
      <w:bodyDiv w:val="1"/>
      <w:marLeft w:val="0"/>
      <w:marRight w:val="0"/>
      <w:marTop w:val="0"/>
      <w:marBottom w:val="0"/>
      <w:divBdr>
        <w:top w:val="none" w:sz="0" w:space="0" w:color="auto"/>
        <w:left w:val="none" w:sz="0" w:space="0" w:color="auto"/>
        <w:bottom w:val="none" w:sz="0" w:space="0" w:color="auto"/>
        <w:right w:val="none" w:sz="0" w:space="0" w:color="auto"/>
      </w:divBdr>
    </w:div>
    <w:div w:id="1841313345">
      <w:bodyDiv w:val="1"/>
      <w:marLeft w:val="0"/>
      <w:marRight w:val="0"/>
      <w:marTop w:val="0"/>
      <w:marBottom w:val="0"/>
      <w:divBdr>
        <w:top w:val="none" w:sz="0" w:space="0" w:color="auto"/>
        <w:left w:val="none" w:sz="0" w:space="0" w:color="auto"/>
        <w:bottom w:val="none" w:sz="0" w:space="0" w:color="auto"/>
        <w:right w:val="none" w:sz="0" w:space="0" w:color="auto"/>
      </w:divBdr>
    </w:div>
    <w:div w:id="1844591660">
      <w:bodyDiv w:val="1"/>
      <w:marLeft w:val="0"/>
      <w:marRight w:val="0"/>
      <w:marTop w:val="0"/>
      <w:marBottom w:val="0"/>
      <w:divBdr>
        <w:top w:val="none" w:sz="0" w:space="0" w:color="auto"/>
        <w:left w:val="none" w:sz="0" w:space="0" w:color="auto"/>
        <w:bottom w:val="none" w:sz="0" w:space="0" w:color="auto"/>
        <w:right w:val="none" w:sz="0" w:space="0" w:color="auto"/>
      </w:divBdr>
    </w:div>
    <w:div w:id="1845440852">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02322199">
      <w:bodyDiv w:val="1"/>
      <w:marLeft w:val="0"/>
      <w:marRight w:val="0"/>
      <w:marTop w:val="0"/>
      <w:marBottom w:val="0"/>
      <w:divBdr>
        <w:top w:val="none" w:sz="0" w:space="0" w:color="auto"/>
        <w:left w:val="none" w:sz="0" w:space="0" w:color="auto"/>
        <w:bottom w:val="none" w:sz="0" w:space="0" w:color="auto"/>
        <w:right w:val="none" w:sz="0" w:space="0" w:color="auto"/>
      </w:divBdr>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994028">
      <w:bodyDiv w:val="1"/>
      <w:marLeft w:val="0"/>
      <w:marRight w:val="0"/>
      <w:marTop w:val="0"/>
      <w:marBottom w:val="0"/>
      <w:divBdr>
        <w:top w:val="none" w:sz="0" w:space="0" w:color="auto"/>
        <w:left w:val="none" w:sz="0" w:space="0" w:color="auto"/>
        <w:bottom w:val="none" w:sz="0" w:space="0" w:color="auto"/>
        <w:right w:val="none" w:sz="0" w:space="0" w:color="auto"/>
      </w:divBdr>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72251782">
      <w:bodyDiv w:val="1"/>
      <w:marLeft w:val="0"/>
      <w:marRight w:val="0"/>
      <w:marTop w:val="0"/>
      <w:marBottom w:val="0"/>
      <w:divBdr>
        <w:top w:val="none" w:sz="0" w:space="0" w:color="auto"/>
        <w:left w:val="none" w:sz="0" w:space="0" w:color="auto"/>
        <w:bottom w:val="none" w:sz="0" w:space="0" w:color="auto"/>
        <w:right w:val="none" w:sz="0" w:space="0" w:color="auto"/>
      </w:divBdr>
    </w:div>
    <w:div w:id="1980068773">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817228">
      <w:bodyDiv w:val="1"/>
      <w:marLeft w:val="0"/>
      <w:marRight w:val="0"/>
      <w:marTop w:val="0"/>
      <w:marBottom w:val="0"/>
      <w:divBdr>
        <w:top w:val="none" w:sz="0" w:space="0" w:color="auto"/>
        <w:left w:val="none" w:sz="0" w:space="0" w:color="auto"/>
        <w:bottom w:val="none" w:sz="0" w:space="0" w:color="auto"/>
        <w:right w:val="none" w:sz="0" w:space="0" w:color="auto"/>
      </w:divBdr>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39235345">
      <w:bodyDiv w:val="1"/>
      <w:marLeft w:val="0"/>
      <w:marRight w:val="0"/>
      <w:marTop w:val="0"/>
      <w:marBottom w:val="0"/>
      <w:divBdr>
        <w:top w:val="none" w:sz="0" w:space="0" w:color="auto"/>
        <w:left w:val="none" w:sz="0" w:space="0" w:color="auto"/>
        <w:bottom w:val="none" w:sz="0" w:space="0" w:color="auto"/>
        <w:right w:val="none" w:sz="0" w:space="0" w:color="auto"/>
      </w:divBdr>
    </w:div>
    <w:div w:id="2070885398">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2.xml"/><Relationship Id="rId21" Type="http://schemas.openxmlformats.org/officeDocument/2006/relationships/image" Target="media/image4.png"/><Relationship Id="rId34" Type="http://schemas.openxmlformats.org/officeDocument/2006/relationships/chart" Target="charts/chart6.xml"/><Relationship Id="rId42" Type="http://schemas.openxmlformats.org/officeDocument/2006/relationships/hyperlink" Target="https://servicios.adres.gov.co/BDUA/Consulta-Afiliados-BDUA" TargetMode="External"/><Relationship Id="rId47" Type="http://schemas.openxmlformats.org/officeDocument/2006/relationships/hyperlink" Target="https://www.secretariasenado.gov.co/senado/basedoc/ley_1438_2011.html" TargetMode="External"/><Relationship Id="rId50" Type="http://schemas.openxmlformats.org/officeDocument/2006/relationships/hyperlink" Target="https://www.dane.gov.co/index.php/estadisticas-por-tema/demografia-y-poblacion/proyecciones-de-poblacion" TargetMode="External"/><Relationship Id="rId55" Type="http://schemas.openxmlformats.org/officeDocument/2006/relationships/hyperlink" Target="https://www.suin-juriscol.gov.co/viewDocument.asp?ruta=Decretos/30021559"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coosalud.com/centros-de-atencion-contributivo/" TargetMode="External"/><Relationship Id="rId11" Type="http://schemas.openxmlformats.org/officeDocument/2006/relationships/hyperlink" Target="https://public.tableau.com/app/profile/minsaludcol/viz/CifrasAseguramientoenSalud_16166927767750/Aseguramiento" TargetMode="External"/><Relationship Id="rId24" Type="http://schemas.openxmlformats.org/officeDocument/2006/relationships/hyperlink" Target="https://public.tableau.com/app/profile/minsaludcol/viz/CifrasAseguramientoenSalud_16166927767750/Aseguramiento" TargetMode="External"/><Relationship Id="rId32" Type="http://schemas.openxmlformats.org/officeDocument/2006/relationships/hyperlink" Target="https://mapas.supersalud.gov.co/arcgisportal/apps/sites/" TargetMode="External"/><Relationship Id="rId37" Type="http://schemas.openxmlformats.org/officeDocument/2006/relationships/hyperlink" Target="https://mapas.supersalud.gov.co/arcgisportal/apps/sites/" TargetMode="External"/><Relationship Id="rId40" Type="http://schemas.openxmlformats.org/officeDocument/2006/relationships/chart" Target="charts/chart9.xml"/><Relationship Id="rId45" Type="http://schemas.openxmlformats.org/officeDocument/2006/relationships/hyperlink" Target="https://www.secretariasenado.gov.co/senado/basedoc/ley_1122_2007.html" TargetMode="External"/><Relationship Id="rId53" Type="http://schemas.openxmlformats.org/officeDocument/2006/relationships/hyperlink" Target="https://public.tableau.com/app/profile/minsaludcol/viz/CifrasAseguramientoenSalud_16166927767750/Aseguramiento" TargetMode="External"/><Relationship Id="rId58" Type="http://schemas.openxmlformats.org/officeDocument/2006/relationships/hyperlink" Target="https://www.saludcapital.gov.co/Paginas2/Noticia_Portal_Detalle.aspx?IP=2507" TargetMode="External"/><Relationship Id="rId66" Type="http://schemas.microsoft.com/office/2020/10/relationships/intelligence" Target="intelligence2.xml"/><Relationship Id="rId5" Type="http://schemas.openxmlformats.org/officeDocument/2006/relationships/numbering" Target="numbering.xml"/><Relationship Id="rId61"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19" Type="http://schemas.microsoft.com/office/2007/relationships/hdphoto" Target="media/hdphoto2.wdp"/><Relationship Id="rId14" Type="http://schemas.openxmlformats.org/officeDocument/2006/relationships/chart" Target="charts/chart1.xml"/><Relationship Id="rId22" Type="http://schemas.openxmlformats.org/officeDocument/2006/relationships/image" Target="media/image5.png"/><Relationship Id="rId27"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30" Type="http://schemas.openxmlformats.org/officeDocument/2006/relationships/hyperlink" Target="https://mapas.supersalud.gov.co/arcgisportal/apps/sites/" TargetMode="External"/><Relationship Id="rId35" Type="http://schemas.openxmlformats.org/officeDocument/2006/relationships/hyperlink" Target="https://mapas.supersalud.gov.co/arcgisportal/apps/sites/" TargetMode="External"/><Relationship Id="rId43" Type="http://schemas.openxmlformats.org/officeDocument/2006/relationships/hyperlink" Target="https://www.secretariasenado.gov.co/senado/basedoc/ley_0100_1993.html" TargetMode="External"/><Relationship Id="rId48" Type="http://schemas.openxmlformats.org/officeDocument/2006/relationships/hyperlink" Target="https://www.secretariasenado.gov.co/senado/basedoc/ley_1751_2015.html" TargetMode="External"/><Relationship Id="rId56" Type="http://schemas.openxmlformats.org/officeDocument/2006/relationships/hyperlink" Target="https://www.alcaldiabogota.gov.co/sisjur/normas/Norma1.jsp?i=190983"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minsalud.gov.co/sites/rid/lists/bibliotecadigital/ride/de/dij/resolucion-3280-de-2018.pdf" TargetMode="Externa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microsoft.com/office/2007/relationships/hdphoto" Target="media/hdphoto1.wdp"/><Relationship Id="rId25" Type="http://schemas.openxmlformats.org/officeDocument/2006/relationships/hyperlink" Target="https://www.minsalud.gov.co/proteccionsocial/Paginas/cifras-aseguramiento-salud.aspx" TargetMode="External"/><Relationship Id="rId33" Type="http://schemas.openxmlformats.org/officeDocument/2006/relationships/chart" Target="charts/chart5.xml"/><Relationship Id="rId38" Type="http://schemas.openxmlformats.org/officeDocument/2006/relationships/chart" Target="charts/chart8.xml"/><Relationship Id="rId46" Type="http://schemas.openxmlformats.org/officeDocument/2006/relationships/hyperlink" Target="https://www.alcaldiabogota.gov.co/sisjur/normas/Norma1.jsp?i=41249" TargetMode="External"/><Relationship Id="rId59" Type="http://schemas.openxmlformats.org/officeDocument/2006/relationships/hyperlink" Target="https://www.alcaldiabogota.gov.co/sisjur/normas/Norma1.jsp?i=143808" TargetMode="External"/><Relationship Id="rId41" Type="http://schemas.openxmlformats.org/officeDocument/2006/relationships/hyperlink" Target="https://mapas.supersalud.gov.co/arcgisportal/apps/sites/" TargetMode="External"/><Relationship Id="rId54" Type="http://schemas.openxmlformats.org/officeDocument/2006/relationships/hyperlink" Target="https://www.funcionpublica.gov.co/eva/gestornormativo/norma.php?i=45322" TargetMode="External"/><Relationship Id="rId62" Type="http://schemas.openxmlformats.org/officeDocument/2006/relationships/hyperlink" Target="https://mapas.supersalud.gov.co/arcgisportal/apps/sit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ublic.tableau.com/app/profile/minsaludcol/viz/CifrasAseguramientoenSalud_16166927767750/Aseguramiento" TargetMode="External"/><Relationship Id="rId23" Type="http://schemas.openxmlformats.org/officeDocument/2006/relationships/hyperlink" Target="https://www.minsalud.gov.co/proteccionsocial/paginas/cifras-aseguramiento-salud.aspx" TargetMode="External"/><Relationship Id="rId28" Type="http://schemas.openxmlformats.org/officeDocument/2006/relationships/chart" Target="charts/chart3.xml"/><Relationship Id="rId36" Type="http://schemas.openxmlformats.org/officeDocument/2006/relationships/chart" Target="charts/chart7.xml"/><Relationship Id="rId49" Type="http://schemas.openxmlformats.org/officeDocument/2006/relationships/hyperlink" Target="https://www.alcaldiabogota.gov.co/sisjur/normas/Norma1.jsp?i=62152" TargetMode="External"/><Relationship Id="rId57" Type="http://schemas.openxmlformats.org/officeDocument/2006/relationships/hyperlink" Target="https://www.saludcapital.gov.co/DCRUE/paginas/informacion_crue.aspx" TargetMode="External"/><Relationship Id="rId10" Type="http://schemas.openxmlformats.org/officeDocument/2006/relationships/endnotes" Target="endnotes.xml"/><Relationship Id="rId31" Type="http://schemas.openxmlformats.org/officeDocument/2006/relationships/chart" Target="charts/chart4.xml"/><Relationship Id="rId44" Type="http://schemas.openxmlformats.org/officeDocument/2006/relationships/hyperlink" Target="https://www.secretariasenado.gov.co/senado/basedoc/ley_0715_2001.html" TargetMode="External"/><Relationship Id="rId52" Type="http://schemas.openxmlformats.org/officeDocument/2006/relationships/hyperlink" Target="https://www.minsalud.gov.co/proteccionsocial/paginas/cifras-aseguramiento-salud.aspx" TargetMode="External"/><Relationship Id="rId60" Type="http://schemas.openxmlformats.org/officeDocument/2006/relationships/hyperlink" Target="https://docs.supersalud.gov.co/PortalWeb/metodologias/OtrosDocumentosMetodologias/Abec%C3%A9%20reporte%20PQRD.pdf?utm_source=chatgpt.co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lic.tableau.com/app/profile/minsaludcol/viz/CifrasAseguramientoenSalud_16166927767750/Aseguramiento" TargetMode="External"/><Relationship Id="rId18" Type="http://schemas.openxmlformats.org/officeDocument/2006/relationships/image" Target="media/image2.png"/><Relationship Id="rId39" Type="http://schemas.openxmlformats.org/officeDocument/2006/relationships/hyperlink" Target="https://mapas.supersalud.gov.co/arcgisportal/apps/sit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Afiliados%20Bogota%20Coosalud%20y%20grafic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Tasa%20reclamos%2012%20meses%20EPS%20Coosalud%20en%20Bogota%20descargada%20el%206%20de%20mayo%20del%2020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Formatos%20calidad\HOSPITAL%20UNIVERSITARIO%20SAN%20JUAN%20DE%20DIOS\Ejecucion%20contractual\Mayo%20de%202026\Cl&#237;nica%20Onkos\graficas%20coosalud.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Graficas%20coosalud.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endeudamiento_coosalud_excel.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grafica_excel_porcentaje%20sinistralida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'Afiliados Bogota Coosalud'!$B$1</c:f>
              <c:strCache>
                <c:ptCount val="1"/>
                <c:pt idx="0">
                  <c:v>Contributivo </c:v>
                </c:pt>
              </c:strCache>
            </c:strRef>
          </c:tx>
          <c:spPr>
            <a:ln w="28575" cap="rnd">
              <a:solidFill>
                <a:schemeClr val="tx2"/>
              </a:solidFill>
              <a:round/>
              <a:tailEnd type="arrow"/>
            </a:ln>
            <a:effectLst/>
          </c:spPr>
          <c:marker>
            <c:symbol val="diamond"/>
            <c:size val="5"/>
            <c:spPr>
              <a:solidFill>
                <a:schemeClr val="bg1">
                  <a:lumMod val="75000"/>
                </a:schemeClr>
              </a:solidFill>
              <a:ln w="9525">
                <a:solidFill>
                  <a:schemeClr val="accent1"/>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3-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Coosalud'!$B$2:$B$6</c:f>
              <c:numCache>
                <c:formatCode>#,##0</c:formatCode>
                <c:ptCount val="5"/>
                <c:pt idx="0">
                  <c:v>4890</c:v>
                </c:pt>
                <c:pt idx="1">
                  <c:v>9169</c:v>
                </c:pt>
                <c:pt idx="2">
                  <c:v>7281</c:v>
                </c:pt>
                <c:pt idx="3">
                  <c:v>7293</c:v>
                </c:pt>
                <c:pt idx="4">
                  <c:v>7002</c:v>
                </c:pt>
              </c:numCache>
            </c:numRef>
          </c:val>
          <c:smooth val="0"/>
          <c:extLst>
            <c:ext xmlns:c16="http://schemas.microsoft.com/office/drawing/2014/chart" uri="{C3380CC4-5D6E-409C-BE32-E72D297353CC}">
              <c16:uniqueId val="{00000000-568F-4648-8E30-F6E47FD611F4}"/>
            </c:ext>
          </c:extLst>
        </c:ser>
        <c:ser>
          <c:idx val="1"/>
          <c:order val="1"/>
          <c:tx>
            <c:strRef>
              <c:f>'Afiliados Bogota Coosalud'!$C$1</c:f>
              <c:strCache>
                <c:ptCount val="1"/>
                <c:pt idx="0">
                  <c:v>Subsidiado </c:v>
                </c:pt>
              </c:strCache>
            </c:strRef>
          </c:tx>
          <c:spPr>
            <a:ln w="28575" cap="rnd">
              <a:solidFill>
                <a:schemeClr val="accent2"/>
              </a:solidFill>
              <a:round/>
              <a:tailEnd type="arrow"/>
            </a:ln>
            <a:effectLst/>
          </c:spPr>
          <c:marker>
            <c:symbol val="diamond"/>
            <c:size val="7"/>
            <c:spPr>
              <a:solidFill>
                <a:schemeClr val="bg1">
                  <a:lumMod val="75000"/>
                </a:schemeClr>
              </a:solidFill>
              <a:ln w="9525">
                <a:solidFill>
                  <a:schemeClr val="accent2"/>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Coosalud'!$C$2:$C$6</c:f>
              <c:numCache>
                <c:formatCode>#,##0</c:formatCode>
                <c:ptCount val="5"/>
                <c:pt idx="0">
                  <c:v>13681</c:v>
                </c:pt>
                <c:pt idx="1">
                  <c:v>27065</c:v>
                </c:pt>
                <c:pt idx="2">
                  <c:v>23726</c:v>
                </c:pt>
                <c:pt idx="3">
                  <c:v>28078</c:v>
                </c:pt>
                <c:pt idx="4">
                  <c:v>27470</c:v>
                </c:pt>
              </c:numCache>
            </c:numRef>
          </c:val>
          <c:smooth val="0"/>
          <c:extLst>
            <c:ext xmlns:c16="http://schemas.microsoft.com/office/drawing/2014/chart" uri="{C3380CC4-5D6E-409C-BE32-E72D297353CC}">
              <c16:uniqueId val="{00000001-568F-4648-8E30-F6E47FD611F4}"/>
            </c:ext>
          </c:extLst>
        </c:ser>
        <c:dLbls>
          <c:showLegendKey val="0"/>
          <c:showVal val="0"/>
          <c:showCatName val="0"/>
          <c:showSerName val="0"/>
          <c:showPercent val="0"/>
          <c:showBubbleSize val="0"/>
        </c:dLbls>
        <c:marker val="1"/>
        <c:smooth val="0"/>
        <c:axId val="644576144"/>
        <c:axId val="644569616"/>
      </c:lineChart>
      <c:catAx>
        <c:axId val="64457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644569616"/>
        <c:crosses val="autoZero"/>
        <c:auto val="1"/>
        <c:lblAlgn val="ctr"/>
        <c:lblOffset val="100"/>
        <c:noMultiLvlLbl val="0"/>
      </c:catAx>
      <c:valAx>
        <c:axId val="644569616"/>
        <c:scaling>
          <c:orientation val="minMax"/>
        </c:scaling>
        <c:delete val="1"/>
        <c:axPos val="l"/>
        <c:numFmt formatCode="#,##0" sourceLinked="1"/>
        <c:majorTickMark val="none"/>
        <c:minorTickMark val="none"/>
        <c:tickLblPos val="nextTo"/>
        <c:crossAx val="64457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sz="1100">
          <a:latin typeface="Arial" panose="020B0604020202020204" pitchFamily="34" charset="0"/>
          <a:cs typeface="Arial" panose="020B0604020202020204" pitchFamily="34"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511627906976744E-2"/>
          <c:y val="7.7463083999031707E-2"/>
          <c:w val="0.95127353266888148"/>
          <c:h val="0.82362624061970469"/>
        </c:manualLayout>
      </c:layout>
      <c:lineChart>
        <c:grouping val="standard"/>
        <c:varyColors val="0"/>
        <c:ser>
          <c:idx val="0"/>
          <c:order val="0"/>
          <c:spPr>
            <a:ln w="28575" cap="rnd">
              <a:solidFill>
                <a:srgbClr val="C00000"/>
              </a:solidFill>
              <a:round/>
              <a:tailEnd type="arrow"/>
            </a:ln>
            <a:effectLst/>
          </c:spPr>
          <c:marker>
            <c:symbol val="diamond"/>
            <c:size val="10"/>
            <c:spPr>
              <a:solidFill>
                <a:schemeClr val="accent1"/>
              </a:solidFill>
              <a:ln w="9525">
                <a:solidFill>
                  <a:schemeClr val="accent1"/>
                </a:solidFill>
              </a:ln>
              <a:effectLst/>
            </c:spPr>
          </c:marker>
          <c:dLbls>
            <c:dLbl>
              <c:idx val="0"/>
              <c:layout>
                <c:manualLayout>
                  <c:x val="0"/>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FA0-43AF-AD12-AC7C039A13DE}"/>
                </c:ext>
              </c:extLst>
            </c:dLbl>
            <c:dLbl>
              <c:idx val="1"/>
              <c:layout>
                <c:manualLayout>
                  <c:x val="-5.5555555555556061E-3"/>
                  <c:y val="8.33333333333333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FA0-43AF-AD12-AC7C039A13DE}"/>
                </c:ext>
              </c:extLst>
            </c:dLbl>
            <c:dLbl>
              <c:idx val="2"/>
              <c:layout>
                <c:manualLayout>
                  <c:x val="1.111111111111111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FA0-43AF-AD12-AC7C039A13DE}"/>
                </c:ext>
              </c:extLst>
            </c:dLbl>
            <c:dLbl>
              <c:idx val="3"/>
              <c:layout>
                <c:manualLayout>
                  <c:x val="8.3333333333334356E-3"/>
                  <c:y val="1.85185185185184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FA0-43AF-AD12-AC7C039A13DE}"/>
                </c:ext>
              </c:extLst>
            </c:dLbl>
            <c:dLbl>
              <c:idx val="4"/>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extLst>
                <c:ext xmlns:c16="http://schemas.microsoft.com/office/drawing/2014/chart" uri="{C3380CC4-5D6E-409C-BE32-E72D297353CC}">
                  <c16:uniqueId val="{00000005-8FA0-43AF-AD12-AC7C039A13DE}"/>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EPS Coosalud en Bogota descargada el 6 de mayo del 2026.xlsx]Tasa reclamos 2021-2025'!$A$2:$A$6</c:f>
              <c:numCache>
                <c:formatCode>General</c:formatCode>
                <c:ptCount val="5"/>
                <c:pt idx="0">
                  <c:v>2021</c:v>
                </c:pt>
                <c:pt idx="1">
                  <c:v>2022</c:v>
                </c:pt>
                <c:pt idx="2">
                  <c:v>2023</c:v>
                </c:pt>
                <c:pt idx="3">
                  <c:v>2024</c:v>
                </c:pt>
                <c:pt idx="4">
                  <c:v>2025</c:v>
                </c:pt>
              </c:numCache>
            </c:numRef>
          </c:cat>
          <c:val>
            <c:numRef>
              <c:f>'[Tasa reclamos 12 meses EPS Coosalud en Bogota descargada el 6 de mayo del 2026.xlsx]Tasa reclamos 2021-2025'!$B$2:$B$6</c:f>
              <c:numCache>
                <c:formatCode>General</c:formatCode>
                <c:ptCount val="5"/>
                <c:pt idx="0">
                  <c:v>325.26</c:v>
                </c:pt>
                <c:pt idx="1">
                  <c:v>316.08999999999997</c:v>
                </c:pt>
                <c:pt idx="2">
                  <c:v>302.82</c:v>
                </c:pt>
                <c:pt idx="3">
                  <c:v>411.82</c:v>
                </c:pt>
                <c:pt idx="4">
                  <c:v>502.9</c:v>
                </c:pt>
              </c:numCache>
            </c:numRef>
          </c:val>
          <c:smooth val="0"/>
          <c:extLst>
            <c:ext xmlns:c16="http://schemas.microsoft.com/office/drawing/2014/chart" uri="{C3380CC4-5D6E-409C-BE32-E72D297353CC}">
              <c16:uniqueId val="{00000004-8FA0-43AF-AD12-AC7C039A13DE}"/>
            </c:ext>
          </c:extLst>
        </c:ser>
        <c:dLbls>
          <c:showLegendKey val="0"/>
          <c:showVal val="0"/>
          <c:showCatName val="0"/>
          <c:showSerName val="0"/>
          <c:showPercent val="0"/>
          <c:showBubbleSize val="0"/>
        </c:dLbls>
        <c:marker val="1"/>
        <c:smooth val="0"/>
        <c:axId val="644567440"/>
        <c:axId val="644582128"/>
      </c:lineChart>
      <c:catAx>
        <c:axId val="64456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4582128"/>
        <c:crosses val="autoZero"/>
        <c:auto val="1"/>
        <c:lblAlgn val="ctr"/>
        <c:lblOffset val="100"/>
        <c:noMultiLvlLbl val="0"/>
      </c:catAx>
      <c:valAx>
        <c:axId val="644582128"/>
        <c:scaling>
          <c:orientation val="minMax"/>
        </c:scaling>
        <c:delete val="1"/>
        <c:axPos val="l"/>
        <c:numFmt formatCode="General" sourceLinked="1"/>
        <c:majorTickMark val="none"/>
        <c:minorTickMark val="none"/>
        <c:tickLblPos val="nextTo"/>
        <c:crossAx val="644567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Días hábiles</c:v>
          </c:tx>
          <c:spPr>
            <a:solidFill>
              <a:srgbClr val="4472C4"/>
            </a:solidFill>
            <a:ln w="12700" cap="flat" cmpd="sng" algn="ctr">
              <a:solidFill>
                <a:schemeClr val="accent5">
                  <a:shade val="15000"/>
                </a:schemeClr>
              </a:solidFill>
              <a:prstDash val="solid"/>
              <a:miter lim="800000"/>
            </a:ln>
            <a:effectLst/>
          </c:spPr>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'Oportunidad respuesta'!$A$2:$A$14</c:f>
              <c:strCache>
                <c:ptCount val="13"/>
                <c:pt idx="0">
                  <c:v>TOTAL PROMEDIO</c:v>
                </c:pt>
                <c:pt idx="1">
                  <c:v>DICIEMBRE</c:v>
                </c:pt>
                <c:pt idx="2">
                  <c:v>NOVIEMBRE</c:v>
                </c:pt>
                <c:pt idx="3">
                  <c:v>OCTUBRE</c:v>
                </c:pt>
                <c:pt idx="4">
                  <c:v>SEPTIEMBRE</c:v>
                </c:pt>
                <c:pt idx="5">
                  <c:v>AGOSTO</c:v>
                </c:pt>
                <c:pt idx="6">
                  <c:v>JULIO</c:v>
                </c:pt>
                <c:pt idx="7">
                  <c:v>JUNIO</c:v>
                </c:pt>
                <c:pt idx="8">
                  <c:v>MAYO</c:v>
                </c:pt>
                <c:pt idx="9">
                  <c:v>ABRIL</c:v>
                </c:pt>
                <c:pt idx="10">
                  <c:v>MARZO</c:v>
                </c:pt>
                <c:pt idx="11">
                  <c:v>FEBRERO</c:v>
                </c:pt>
                <c:pt idx="12">
                  <c:v>ENERO</c:v>
                </c:pt>
              </c:strCache>
            </c:strRef>
          </c:cat>
          <c:val>
            <c:numRef>
              <c:f>'Oportunidad respuesta'!$B$2:$B$14</c:f>
              <c:numCache>
                <c:formatCode>0</c:formatCode>
                <c:ptCount val="13"/>
                <c:pt idx="0">
                  <c:v>29</c:v>
                </c:pt>
                <c:pt idx="1">
                  <c:v>18</c:v>
                </c:pt>
                <c:pt idx="2">
                  <c:v>15</c:v>
                </c:pt>
                <c:pt idx="3">
                  <c:v>15</c:v>
                </c:pt>
                <c:pt idx="4">
                  <c:v>24</c:v>
                </c:pt>
                <c:pt idx="5">
                  <c:v>23</c:v>
                </c:pt>
                <c:pt idx="6">
                  <c:v>29</c:v>
                </c:pt>
                <c:pt idx="7">
                  <c:v>31</c:v>
                </c:pt>
                <c:pt idx="8">
                  <c:v>38</c:v>
                </c:pt>
                <c:pt idx="9">
                  <c:v>40</c:v>
                </c:pt>
                <c:pt idx="10">
                  <c:v>50</c:v>
                </c:pt>
                <c:pt idx="11">
                  <c:v>24</c:v>
                </c:pt>
                <c:pt idx="12">
                  <c:v>45</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0-7182-47FB-A1D1-FD2A13FD3A23}"/>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txPr>
          <a:bodyPr/>
          <a:lstStyle/>
          <a:p>
            <a:pPr>
              <a:defRPr sz="500"/>
            </a:pPr>
            <a:endParaRPr lang="es-CO"/>
          </a:p>
        </c:txPr>
        <c:crossAx val="48672768"/>
        <c:crosses val="autoZero"/>
        <c:auto val="1"/>
        <c:lblAlgn val="ctr"/>
        <c:lblOffset val="100"/>
        <c:noMultiLvlLbl val="0"/>
      </c:catAx>
      <c:valAx>
        <c:axId val="48672768"/>
        <c:scaling>
          <c:orientation val="minMax"/>
        </c:scaling>
        <c:delete val="0"/>
        <c:axPos val="l"/>
        <c:numFmt formatCode="0" sourceLinked="1"/>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1100">
          <a:latin typeface="Arial" panose="020B0604020202020204" pitchFamily="34" charset="0"/>
          <a:cs typeface="Arial" panose="020B0604020202020204" pitchFamily="34" charset="0"/>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'activos Vs Pasivos'!$A$2</c:f>
              <c:strCache>
                <c:ptCount val="1"/>
                <c:pt idx="0">
                  <c:v>Total activos</c:v>
                </c:pt>
              </c:strCache>
            </c:strRef>
          </c:tx>
          <c:spPr>
            <a:ln w="28575" cap="rnd">
              <a:solidFill>
                <a:schemeClr val="accent1"/>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extLst>
                <c:ext xmlns:c16="http://schemas.microsoft.com/office/drawing/2014/chart" uri="{C3380CC4-5D6E-409C-BE32-E72D297353CC}">
                  <c16:uniqueId val="{00000000-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Pasivos'!$B$2:$F$2</c:f>
              <c:numCache>
                <c:formatCode>#,##0</c:formatCode>
                <c:ptCount val="5"/>
                <c:pt idx="0">
                  <c:v>1202468.09806</c:v>
                </c:pt>
                <c:pt idx="1">
                  <c:v>1124036.2179010001</c:v>
                </c:pt>
                <c:pt idx="2">
                  <c:v>1066681.5738540001</c:v>
                </c:pt>
                <c:pt idx="3">
                  <c:v>1942170.42077</c:v>
                </c:pt>
                <c:pt idx="4">
                  <c:v>2916073.28786</c:v>
                </c:pt>
              </c:numCache>
            </c:numRef>
          </c:val>
          <c:smooth val="0"/>
          <c:extLst>
            <c:ext xmlns:c16="http://schemas.microsoft.com/office/drawing/2014/chart" uri="{C3380CC4-5D6E-409C-BE32-E72D297353CC}">
              <c16:uniqueId val="{00000001-8D37-4C0A-9F12-D3BB20FE21D8}"/>
            </c:ext>
          </c:extLst>
        </c:ser>
        <c:ser>
          <c:idx val="1"/>
          <c:order val="1"/>
          <c:tx>
            <c:strRef>
              <c:f>'activos Vs Pasivos'!$A$3</c:f>
              <c:strCache>
                <c:ptCount val="1"/>
                <c:pt idx="0">
                  <c:v>Total pasivos</c:v>
                </c:pt>
              </c:strCache>
            </c:strRef>
          </c:tx>
          <c:spPr>
            <a:ln w="28575" cap="rnd">
              <a:solidFill>
                <a:schemeClr val="accent2"/>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Pasivos'!$B$3:$F$3</c:f>
              <c:numCache>
                <c:formatCode>#,##0</c:formatCode>
                <c:ptCount val="5"/>
                <c:pt idx="0">
                  <c:v>902037.39706800005</c:v>
                </c:pt>
                <c:pt idx="1">
                  <c:v>793036.01877900003</c:v>
                </c:pt>
                <c:pt idx="2">
                  <c:v>843225.41116300004</c:v>
                </c:pt>
                <c:pt idx="3">
                  <c:v>2801338.3875299999</c:v>
                </c:pt>
                <c:pt idx="4">
                  <c:v>6634186.9181350004</c:v>
                </c:pt>
              </c:numCache>
            </c:numRef>
          </c:val>
          <c:smooth val="0"/>
          <c:extLst>
            <c:ext xmlns:c16="http://schemas.microsoft.com/office/drawing/2014/chart" uri="{C3380CC4-5D6E-409C-BE32-E72D297353CC}">
              <c16:uniqueId val="{00000003-8D37-4C0A-9F12-D3BB20FE21D8}"/>
            </c:ext>
          </c:extLst>
        </c:ser>
        <c:dLbls>
          <c:showLegendKey val="0"/>
          <c:showVal val="0"/>
          <c:showCatName val="0"/>
          <c:showSerName val="0"/>
          <c:showPercent val="0"/>
          <c:showBubbleSize val="0"/>
        </c:dLbls>
        <c:smooth val="0"/>
        <c:axId val="-839745040"/>
        <c:axId val="-839741232"/>
      </c:lineChart>
      <c:catAx>
        <c:axId val="-839745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839741232"/>
        <c:crosses val="autoZero"/>
        <c:auto val="1"/>
        <c:lblAlgn val="ctr"/>
        <c:lblOffset val="100"/>
        <c:noMultiLvlLbl val="0"/>
      </c:catAx>
      <c:valAx>
        <c:axId val="-839741232"/>
        <c:scaling>
          <c:orientation val="minMax"/>
        </c:scaling>
        <c:delete val="1"/>
        <c:axPos val="l"/>
        <c:numFmt formatCode="#,##0" sourceLinked="1"/>
        <c:majorTickMark val="none"/>
        <c:minorTickMark val="none"/>
        <c:tickLblPos val="nextTo"/>
        <c:crossAx val="-839745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'TD COOSALUD ctas por pagar'!$B$38</c:f>
              <c:strCache>
                <c:ptCount val="1"/>
                <c:pt idx="0">
                  <c:v>cuentas por pagar</c:v>
                </c:pt>
              </c:strCache>
            </c:strRef>
          </c:tx>
          <c:spPr>
            <a:ln w="28575" cap="rnd">
              <a:solidFill>
                <a:srgbClr val="C00000"/>
              </a:solidFill>
              <a:round/>
              <a:tailEnd type="arrow"/>
            </a:ln>
            <a:effectLst/>
          </c:spPr>
          <c:marker>
            <c:symbol val="diamond"/>
            <c:size val="5"/>
            <c:spPr>
              <a:solidFill>
                <a:schemeClr val="accent2"/>
              </a:solidFill>
              <a:ln w="38100">
                <a:solidFill>
                  <a:schemeClr val="bg1">
                    <a:lumMod val="85000"/>
                  </a:schemeClr>
                </a:solidFill>
              </a:ln>
              <a:effectLst/>
            </c:spPr>
          </c:marker>
          <c:dLbls>
            <c:dLbl>
              <c:idx val="2"/>
              <c:layout>
                <c:manualLayout>
                  <c:x val="-7.3162801633342447E-2"/>
                  <c:y val="-0.1262630214701423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0E5-4434-B8F2-C2D3881F8FF9}"/>
                </c:ext>
              </c:extLst>
            </c:dLbl>
            <c:dLbl>
              <c:idx val="3"/>
              <c:layout>
                <c:manualLayout>
                  <c:x val="-0.13965884063395193"/>
                  <c:y val="-7.6573580476353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E5-4434-B8F2-C2D3881F8FF9}"/>
                </c:ext>
              </c:extLst>
            </c:dLbl>
            <c:dLbl>
              <c:idx val="4"/>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B0E5-4434-B8F2-C2D3881F8FF9}"/>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COOSALUD ctas por pagar'!$C$37:$G$37</c:f>
              <c:numCache>
                <c:formatCode>General</c:formatCode>
                <c:ptCount val="5"/>
                <c:pt idx="0">
                  <c:v>2021</c:v>
                </c:pt>
                <c:pt idx="1">
                  <c:v>2022</c:v>
                </c:pt>
                <c:pt idx="2">
                  <c:v>2023</c:v>
                </c:pt>
                <c:pt idx="3">
                  <c:v>2024</c:v>
                </c:pt>
                <c:pt idx="4">
                  <c:v>2025</c:v>
                </c:pt>
              </c:numCache>
            </c:numRef>
          </c:cat>
          <c:val>
            <c:numRef>
              <c:f>'TD COOSALUD ctas por pagar'!$C$38:$G$38</c:f>
              <c:numCache>
                <c:formatCode>"$"\ #,##0</c:formatCode>
                <c:ptCount val="5"/>
                <c:pt idx="0">
                  <c:v>356405.421394</c:v>
                </c:pt>
                <c:pt idx="1">
                  <c:v>162766.30459700001</c:v>
                </c:pt>
                <c:pt idx="2">
                  <c:v>66843.553446999998</c:v>
                </c:pt>
                <c:pt idx="3">
                  <c:v>986536.69745700003</c:v>
                </c:pt>
                <c:pt idx="4">
                  <c:v>2543908.1779800002</c:v>
                </c:pt>
              </c:numCache>
            </c:numRef>
          </c:val>
          <c:smooth val="0"/>
          <c:extLst>
            <c:ext xmlns:c16="http://schemas.microsoft.com/office/drawing/2014/chart" uri="{C3380CC4-5D6E-409C-BE32-E72D297353CC}">
              <c16:uniqueId val="{00000003-B0E5-4434-B8F2-C2D3881F8FF9}"/>
            </c:ext>
          </c:extLst>
        </c:ser>
        <c:dLbls>
          <c:showLegendKey val="0"/>
          <c:showVal val="0"/>
          <c:showCatName val="0"/>
          <c:showSerName val="0"/>
          <c:showPercent val="0"/>
          <c:showBubbleSize val="0"/>
        </c:dLbls>
        <c:marker val="1"/>
        <c:smooth val="0"/>
        <c:axId val="905704175"/>
        <c:axId val="905702735"/>
      </c:lineChart>
      <c:catAx>
        <c:axId val="905704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2735"/>
        <c:crosses val="autoZero"/>
        <c:auto val="1"/>
        <c:lblAlgn val="ctr"/>
        <c:lblOffset val="100"/>
        <c:noMultiLvlLbl val="0"/>
      </c:catAx>
      <c:valAx>
        <c:axId val="905702735"/>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4175"/>
        <c:crosses val="autoZero"/>
        <c:crossBetween val="between"/>
        <c:majorUnit val="500000"/>
        <c:minorUnit val="1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rgbClr val="C00000"/>
              </a:solidFill>
              <a:round/>
              <a:tailEnd type="arrow"/>
            </a:ln>
            <a:effectLst/>
          </c:spPr>
          <c:marker>
            <c:symbol val="diamond"/>
            <c:size val="7"/>
            <c:spPr>
              <a:solidFill>
                <a:schemeClr val="accent1"/>
              </a:solidFill>
              <a:ln w="9525">
                <a:solidFill>
                  <a:srgbClr val="C00000"/>
                </a:solidFill>
                <a:tailEnd type="arrow"/>
              </a:ln>
              <a:effectLst/>
            </c:spPr>
          </c:marker>
          <c:dLbls>
            <c:dLbl>
              <c:idx val="2"/>
              <c:layout>
                <c:manualLayout>
                  <c:x val="-9.3368110236220575E-2"/>
                  <c:y val="-9.02431466899970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A43-44A5-9AF3-7E5ADD1D444B}"/>
                </c:ext>
              </c:extLst>
            </c:dLbl>
            <c:dLbl>
              <c:idx val="3"/>
              <c:layout>
                <c:manualLayout>
                  <c:x val="-0.15285433070866142"/>
                  <c:y val="-7.63542578011082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43-44A5-9AF3-7E5ADD1D444B}"/>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FMS reservas tecnicas'!$F$26:$J$26</c:f>
              <c:numCache>
                <c:formatCode>General</c:formatCode>
                <c:ptCount val="5"/>
                <c:pt idx="0">
                  <c:v>2021</c:v>
                </c:pt>
                <c:pt idx="1">
                  <c:v>2022</c:v>
                </c:pt>
                <c:pt idx="2">
                  <c:v>2023</c:v>
                </c:pt>
                <c:pt idx="3">
                  <c:v>2024</c:v>
                </c:pt>
                <c:pt idx="4">
                  <c:v>2025</c:v>
                </c:pt>
              </c:numCache>
            </c:numRef>
          </c:cat>
          <c:val>
            <c:numRef>
              <c:f>'TD FMS reservas tecnicas'!$F$27:$J$27</c:f>
              <c:numCache>
                <c:formatCode>"$"\ #,##0</c:formatCode>
                <c:ptCount val="5"/>
                <c:pt idx="0">
                  <c:v>590261.71134699997</c:v>
                </c:pt>
                <c:pt idx="1">
                  <c:v>506618.96690900001</c:v>
                </c:pt>
                <c:pt idx="2">
                  <c:v>584389.00486500002</c:v>
                </c:pt>
                <c:pt idx="3">
                  <c:v>2663523.69594</c:v>
                </c:pt>
                <c:pt idx="4">
                  <c:v>6513509.3791669998</c:v>
                </c:pt>
              </c:numCache>
            </c:numRef>
          </c:val>
          <c:smooth val="0"/>
          <c:extLst>
            <c:ext xmlns:c16="http://schemas.microsoft.com/office/drawing/2014/chart" uri="{C3380CC4-5D6E-409C-BE32-E72D297353CC}">
              <c16:uniqueId val="{00000002-AA43-44A5-9AF3-7E5ADD1D444B}"/>
            </c:ext>
          </c:extLst>
        </c:ser>
        <c:dLbls>
          <c:showLegendKey val="0"/>
          <c:showVal val="0"/>
          <c:showCatName val="0"/>
          <c:showSerName val="0"/>
          <c:showPercent val="0"/>
          <c:showBubbleSize val="0"/>
        </c:dLbls>
        <c:marker val="1"/>
        <c:smooth val="0"/>
        <c:axId val="643381055"/>
        <c:axId val="643383935"/>
      </c:lineChart>
      <c:catAx>
        <c:axId val="643381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3935"/>
        <c:crosses val="autoZero"/>
        <c:auto val="1"/>
        <c:lblAlgn val="ctr"/>
        <c:lblOffset val="100"/>
        <c:noMultiLvlLbl val="0"/>
      </c:catAx>
      <c:valAx>
        <c:axId val="643383935"/>
        <c:scaling>
          <c:orientation val="minMax"/>
        </c:scaling>
        <c:delete val="0"/>
        <c:axPos val="l"/>
        <c:numFmt formatCode="&quot;$&quot;\ #,##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105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5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'TD coosalud patrimonio'!$C$52</c:f>
              <c:strCache>
                <c:ptCount val="1"/>
                <c:pt idx="0">
                  <c:v>PATRIMONIO</c:v>
                </c:pt>
              </c:strCache>
            </c:strRef>
          </c:tx>
          <c:spPr>
            <a:solidFill>
              <a:schemeClr val="accent5"/>
            </a:solidFill>
            <a:ln w="12700" cap="flat" cmpd="sng" algn="ctr">
              <a:solidFill>
                <a:schemeClr val="accent5">
                  <a:shade val="15000"/>
                </a:schemeClr>
              </a:solidFill>
              <a:prstDash val="solid"/>
              <a:miter lim="800000"/>
            </a:ln>
            <a:effectLst/>
          </c:spPr>
          <c:invertIfNegative val="0"/>
          <c:dLbls>
            <c:dLbl>
              <c:idx val="4"/>
              <c:spPr>
                <a:noFill/>
                <a:ln>
                  <a:noFill/>
                </a:ln>
                <a:effectLst/>
              </c:spPr>
              <c:txPr>
                <a:bodyPr rot="0" spcFirstLastPara="1" vertOverflow="ellipsis" vert="horz" wrap="square" anchor="ctr" anchorCtr="1"/>
                <a:lstStyle/>
                <a:p>
                  <a:pPr>
                    <a:defRPr sz="1100" b="1" i="0" u="none" strike="noStrike" kern="1200" baseline="0">
                      <a:solidFill>
                        <a:srgbClr val="FF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95C-4316-B2BC-60FDE7F1455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'TD coosalud patrimonio'!$D$52:$H$52</c:f>
              <c:numCache>
                <c:formatCode>"$"\ #,##0</c:formatCode>
                <c:ptCount val="5"/>
                <c:pt idx="0">
                  <c:v>300430.700992</c:v>
                </c:pt>
                <c:pt idx="1">
                  <c:v>331000.19912200002</c:v>
                </c:pt>
                <c:pt idx="2">
                  <c:v>223456.162691</c:v>
                </c:pt>
                <c:pt idx="3">
                  <c:v>-859167.96675999998</c:v>
                </c:pt>
                <c:pt idx="4">
                  <c:v>-3718113.6302749999</c:v>
                </c:pt>
              </c:numCache>
            </c:numRef>
          </c:val>
          <c:extLst>
            <c:ext xmlns:c16="http://schemas.microsoft.com/office/drawing/2014/chart" uri="{C3380CC4-5D6E-409C-BE32-E72D297353CC}">
              <c16:uniqueId val="{00000001-095C-4316-B2BC-60FDE7F1455E}"/>
            </c:ext>
          </c:extLst>
        </c:ser>
        <c:dLbls>
          <c:showLegendKey val="0"/>
          <c:showVal val="0"/>
          <c:showCatName val="0"/>
          <c:showSerName val="0"/>
          <c:showPercent val="0"/>
          <c:showBubbleSize val="0"/>
        </c:dLbls>
        <c:gapWidth val="219"/>
        <c:overlap val="-27"/>
        <c:axId val="839892847"/>
        <c:axId val="839895247"/>
      </c:barChart>
      <c:catAx>
        <c:axId val="839892847"/>
        <c:scaling>
          <c:orientation val="minMax"/>
        </c:scaling>
        <c:delete val="1"/>
        <c:axPos val="b"/>
        <c:numFmt formatCode="General" sourceLinked="1"/>
        <c:majorTickMark val="none"/>
        <c:minorTickMark val="none"/>
        <c:tickLblPos val="nextTo"/>
        <c:crossAx val="839895247"/>
        <c:crosses val="autoZero"/>
        <c:auto val="1"/>
        <c:lblAlgn val="ctr"/>
        <c:lblOffset val="100"/>
        <c:noMultiLvlLbl val="0"/>
      </c:catAx>
      <c:valAx>
        <c:axId val="839895247"/>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83989284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4472C4"/>
            </a:solidFill>
            <a:ln w="12700" cap="flat" cmpd="sng" algn="ctr">
              <a:solidFill>
                <a:schemeClr val="accent5">
                  <a:shade val="15000"/>
                </a:schemeClr>
              </a:solidFill>
              <a:prstDash val="solid"/>
              <a:miter lim="800000"/>
            </a:ln>
            <a:effectLst/>
          </c:spPr>
          <c:invertIfNegative val="1"/>
          <c:dLbls>
            <c:dLbl>
              <c:idx val="4"/>
              <c:spPr>
                <a:noFill/>
                <a:ln>
                  <a:noFill/>
                </a:ln>
                <a:effectLst/>
              </c:spPr>
              <c:txPr>
                <a:bodyPr wrap="square" lIns="38100" tIns="19050" rIns="38100" bIns="19050" anchor="ctr">
                  <a:spAutoFit/>
                </a:bodyPr>
                <a:lstStyle/>
                <a:p>
                  <a:pPr>
                    <a:defRPr sz="1100" b="1"/>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1473-4797-B11A-DE497378B8E1}"/>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Endeudamiento!$A$4:$A$8</c:f>
              <c:strCache>
                <c:ptCount val="5"/>
                <c:pt idx="0">
                  <c:v>2021</c:v>
                </c:pt>
                <c:pt idx="1">
                  <c:v>2022</c:v>
                </c:pt>
                <c:pt idx="2">
                  <c:v>2023</c:v>
                </c:pt>
                <c:pt idx="3">
                  <c:v>2024</c:v>
                </c:pt>
                <c:pt idx="4">
                  <c:v>2025</c:v>
                </c:pt>
              </c:strCache>
            </c:strRef>
          </c:cat>
          <c:val>
            <c:numRef>
              <c:f>Endeudamiento!$B$4:$B$8</c:f>
              <c:numCache>
                <c:formatCode>0.00%</c:formatCode>
                <c:ptCount val="5"/>
                <c:pt idx="0">
                  <c:v>0.75019999999999998</c:v>
                </c:pt>
                <c:pt idx="1">
                  <c:v>0.70550000000000002</c:v>
                </c:pt>
                <c:pt idx="2">
                  <c:v>0.79049999999999998</c:v>
                </c:pt>
                <c:pt idx="3">
                  <c:v>1.4423999999999999</c:v>
                </c:pt>
                <c:pt idx="4">
                  <c:v>2.2749999999999999</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1473-4797-B11A-DE497378B8E1}"/>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txPr>
          <a:bodyPr anchorCtr="1"/>
          <a:lstStyle/>
          <a:p>
            <a:pPr>
              <a:defRPr sz="1050"/>
            </a:pPr>
            <a:endParaRPr lang="es-CO"/>
          </a:p>
        </c:txPr>
        <c:crossAx val="48672768"/>
        <c:crosses val="autoZero"/>
        <c:auto val="1"/>
        <c:lblAlgn val="ctr"/>
        <c:lblOffset val="100"/>
        <c:noMultiLvlLbl val="0"/>
      </c:catAx>
      <c:valAx>
        <c:axId val="48672768"/>
        <c:scaling>
          <c:orientation val="minMax"/>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Grafica!$B$1</c:f>
              <c:strCache>
                <c:ptCount val="1"/>
                <c:pt idx="0">
                  <c:v>Valor</c:v>
                </c:pt>
              </c:strCache>
            </c:strRef>
          </c:tx>
          <c:spPr>
            <a:solidFill>
              <a:srgbClr val="4472C4"/>
            </a:solidFill>
            <a:ln w="12700" cap="flat" cmpd="sng" algn="ctr">
              <a:solidFill>
                <a:schemeClr val="accent5">
                  <a:shade val="15000"/>
                </a:schemeClr>
              </a:solidFill>
              <a:prstDash val="solid"/>
              <a:miter lim="800000"/>
            </a:ln>
            <a:effectLst/>
          </c:spPr>
          <c:invertIfNegative val="1"/>
          <c:dLbls>
            <c:dLbl>
              <c:idx val="11"/>
              <c:spPr>
                <a:noFill/>
                <a:ln>
                  <a:noFill/>
                </a:ln>
                <a:effectLst/>
              </c:spPr>
              <c:txPr>
                <a:bodyPr wrap="square" lIns="38100" tIns="19050" rIns="38100" bIns="19050" anchor="ctr">
                  <a:spAutoFit/>
                </a:bodyPr>
                <a:lstStyle/>
                <a:p>
                  <a:pPr>
                    <a:defRPr sz="1200" b="1"/>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CAA-4065-8E87-640FF1A5FEBB}"/>
                </c:ext>
              </c:extLst>
            </c:dLbl>
            <c:spPr>
              <a:noFill/>
              <a:ln>
                <a:noFill/>
              </a:ln>
              <a:effectLst/>
            </c:spPr>
            <c:txPr>
              <a:bodyPr wrap="square" lIns="38100" tIns="19050" rIns="38100" bIns="19050" anchor="ctr">
                <a:spAutoFit/>
              </a:bodyPr>
              <a:lstStyle/>
              <a:p>
                <a:pPr>
                  <a:defRPr sz="80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Grafica!$A$2:$A$13</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Grafica!$B$2:$B$13</c:f>
              <c:numCache>
                <c:formatCode>0.00%</c:formatCode>
                <c:ptCount val="12"/>
                <c:pt idx="0">
                  <c:v>0.95099999999999996</c:v>
                </c:pt>
                <c:pt idx="1">
                  <c:v>1.0503</c:v>
                </c:pt>
                <c:pt idx="2">
                  <c:v>1.0819000000000001</c:v>
                </c:pt>
                <c:pt idx="3">
                  <c:v>1.0076000000000001</c:v>
                </c:pt>
                <c:pt idx="4">
                  <c:v>0.95030000000000003</c:v>
                </c:pt>
                <c:pt idx="5">
                  <c:v>1.1846000000000001</c:v>
                </c:pt>
                <c:pt idx="6">
                  <c:v>1.1908000000000001</c:v>
                </c:pt>
                <c:pt idx="7">
                  <c:v>1.1971000000000001</c:v>
                </c:pt>
                <c:pt idx="8">
                  <c:v>1.2465999999999999</c:v>
                </c:pt>
                <c:pt idx="9">
                  <c:v>1.2678</c:v>
                </c:pt>
                <c:pt idx="10">
                  <c:v>1.2767999999999999</c:v>
                </c:pt>
                <c:pt idx="11">
                  <c:v>1.3217000000000001</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0CAA-4065-8E87-640FF1A5FEBB}"/>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min val="0.8"/>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DE694-847B-4B82-9F34-5214E0A8B66E}">
  <ds:schemaRefs>
    <ds:schemaRef ds:uri="http://schemas.openxmlformats.org/officeDocument/2006/bibliography"/>
  </ds:schemaRefs>
</ds:datastoreItem>
</file>

<file path=customXml/itemProps2.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3.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customXml/itemProps4.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79</Pages>
  <Words>24927</Words>
  <Characters>137101</Characters>
  <Application>Microsoft Office Word</Application>
  <DocSecurity>0</DocSecurity>
  <Lines>1142</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Asus</cp:lastModifiedBy>
  <cp:revision>86</cp:revision>
  <cp:lastPrinted>2026-03-02T04:19:00Z</cp:lastPrinted>
  <dcterms:created xsi:type="dcterms:W3CDTF">2026-05-11T18:54:00Z</dcterms:created>
  <dcterms:modified xsi:type="dcterms:W3CDTF">2026-05-28T00:23:00Z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